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5DE10D">
      <w:pPr>
        <w:adjustRightInd w:val="0"/>
        <w:snapToGrid w:val="0"/>
        <w:spacing w:line="360" w:lineRule="auto"/>
        <w:ind w:left="-2" w:leftChars="-1" w:firstLine="547" w:firstLineChars="227"/>
        <w:jc w:val="center"/>
        <w:rPr>
          <w:b/>
          <w:sz w:val="24"/>
        </w:rPr>
      </w:pPr>
      <w:r>
        <w:rPr>
          <w:b/>
          <w:sz w:val="24"/>
        </w:rPr>
        <w:t>评标办法</w:t>
      </w:r>
    </w:p>
    <w:p w14:paraId="2C4C8357">
      <w:pPr>
        <w:adjustRightInd w:val="0"/>
        <w:snapToGrid w:val="0"/>
        <w:spacing w:line="360" w:lineRule="auto"/>
        <w:ind w:left="-2" w:leftChars="-1" w:firstLine="544" w:firstLineChars="227"/>
        <w:jc w:val="center"/>
        <w:rPr>
          <w:bCs/>
          <w:sz w:val="24"/>
        </w:rPr>
      </w:pPr>
    </w:p>
    <w:p w14:paraId="61E3FE33">
      <w:pPr>
        <w:adjustRightInd w:val="0"/>
        <w:snapToGrid w:val="0"/>
        <w:spacing w:line="360" w:lineRule="auto"/>
        <w:ind w:left="-2" w:leftChars="-1" w:firstLine="426" w:firstLineChars="177"/>
        <w:jc w:val="center"/>
        <w:rPr>
          <w:b/>
          <w:sz w:val="24"/>
        </w:rPr>
      </w:pPr>
      <w:r>
        <w:rPr>
          <w:b/>
          <w:sz w:val="24"/>
        </w:rPr>
        <w:t>经评审的</w:t>
      </w:r>
      <w:r>
        <w:rPr>
          <w:rFonts w:hint="eastAsia"/>
          <w:b/>
          <w:sz w:val="24"/>
        </w:rPr>
        <w:t>“招选+</w:t>
      </w:r>
      <w:r>
        <w:rPr>
          <w:rFonts w:hint="eastAsia"/>
          <w:b/>
          <w:color w:val="FF0000"/>
          <w:sz w:val="24"/>
        </w:rPr>
        <w:t>竞拍</w:t>
      </w:r>
      <w:r>
        <w:rPr>
          <w:rFonts w:hint="eastAsia"/>
          <w:b/>
          <w:sz w:val="24"/>
        </w:rPr>
        <w:t>”</w:t>
      </w:r>
      <w:r>
        <w:rPr>
          <w:b/>
          <w:sz w:val="24"/>
        </w:rPr>
        <w:t>法</w:t>
      </w:r>
    </w:p>
    <w:p w14:paraId="42D1B7C7">
      <w:pPr>
        <w:adjustRightInd w:val="0"/>
        <w:snapToGrid w:val="0"/>
        <w:spacing w:line="360" w:lineRule="auto"/>
        <w:ind w:left="-2" w:leftChars="-1" w:firstLine="424" w:firstLineChars="177"/>
        <w:rPr>
          <w:bCs/>
          <w:sz w:val="24"/>
        </w:rPr>
      </w:pPr>
      <w:bookmarkStart w:id="0" w:name="OLE_LINK1"/>
      <w:bookmarkStart w:id="1" w:name="OLE_LINK2"/>
      <w:r>
        <w:rPr>
          <w:bCs/>
          <w:sz w:val="24"/>
          <w:highlight w:val="yellow"/>
        </w:rPr>
        <w:t>根据</w:t>
      </w:r>
      <w:r>
        <w:rPr>
          <w:rFonts w:hint="eastAsia"/>
          <w:bCs/>
          <w:sz w:val="24"/>
          <w:highlight w:val="yellow"/>
        </w:rPr>
        <w:t>本《华新水泥股份有限公司工程采购管理办法》、公司相关制度</w:t>
      </w:r>
      <w:r>
        <w:rPr>
          <w:bCs/>
          <w:sz w:val="24"/>
          <w:highlight w:val="yellow"/>
        </w:rPr>
        <w:t>的有关精神并结合本工程的实际情况</w:t>
      </w:r>
      <w:r>
        <w:rPr>
          <w:bCs/>
          <w:sz w:val="24"/>
        </w:rPr>
        <w:t>，以公开、公平、公正、科学的原则制定本工程招标、评标、定标办法；</w:t>
      </w:r>
      <w:r>
        <w:rPr>
          <w:rFonts w:hint="eastAsia"/>
          <w:b/>
          <w:sz w:val="24"/>
        </w:rPr>
        <w:t>招选+</w:t>
      </w:r>
      <w:r>
        <w:rPr>
          <w:rFonts w:hint="eastAsia"/>
          <w:b/>
          <w:color w:val="FF0000"/>
          <w:sz w:val="24"/>
        </w:rPr>
        <w:t>竞拍</w:t>
      </w:r>
      <w:r>
        <w:rPr>
          <w:b/>
          <w:sz w:val="24"/>
        </w:rPr>
        <w:t>模式</w:t>
      </w:r>
      <w:r>
        <w:rPr>
          <w:bCs/>
          <w:sz w:val="24"/>
        </w:rPr>
        <w:t>。</w:t>
      </w:r>
    </w:p>
    <w:bookmarkEnd w:id="0"/>
    <w:bookmarkEnd w:id="1"/>
    <w:p w14:paraId="06AB4D1C">
      <w:pPr>
        <w:spacing w:line="360" w:lineRule="auto"/>
        <w:ind w:firstLine="426" w:firstLineChars="177"/>
        <w:rPr>
          <w:b/>
          <w:sz w:val="24"/>
        </w:rPr>
      </w:pPr>
      <w:r>
        <w:rPr>
          <w:b/>
          <w:sz w:val="24"/>
        </w:rPr>
        <w:t>一、技术标评审办法</w:t>
      </w:r>
    </w:p>
    <w:p w14:paraId="1295825E">
      <w:pPr>
        <w:adjustRightInd w:val="0"/>
        <w:snapToGrid w:val="0"/>
        <w:spacing w:line="360" w:lineRule="auto"/>
        <w:ind w:left="-2" w:leftChars="-1" w:firstLine="424" w:firstLineChars="177"/>
        <w:rPr>
          <w:bCs/>
          <w:sz w:val="24"/>
        </w:rPr>
      </w:pPr>
      <w:r>
        <w:rPr>
          <w:rFonts w:hint="eastAsia"/>
          <w:bCs/>
          <w:sz w:val="24"/>
        </w:rPr>
        <w:t>1、土建、钢结构、安装工程类业务，施工技术方案及资质合格</w:t>
      </w:r>
      <w:r>
        <w:rPr>
          <w:rFonts w:hint="eastAsia"/>
          <w:b/>
          <w:bCs/>
          <w:color w:val="FF0000"/>
          <w:sz w:val="24"/>
        </w:rPr>
        <w:t>可招选﹢竞拍。</w:t>
      </w:r>
    </w:p>
    <w:p w14:paraId="7D522445">
      <w:pPr>
        <w:adjustRightInd w:val="0"/>
        <w:snapToGrid w:val="0"/>
        <w:spacing w:line="360" w:lineRule="auto"/>
        <w:ind w:left="-2" w:leftChars="-1" w:firstLine="424" w:firstLineChars="177"/>
        <w:rPr>
          <w:bCs/>
          <w:sz w:val="24"/>
        </w:rPr>
      </w:pPr>
      <w:r>
        <w:rPr>
          <w:rFonts w:hint="eastAsia"/>
          <w:bCs/>
          <w:sz w:val="24"/>
        </w:rPr>
        <w:t>2、电气、机械设备类，招标委员会专业技术人员技术评审通过后，</w:t>
      </w:r>
      <w:r>
        <w:rPr>
          <w:rFonts w:hint="eastAsia"/>
          <w:b/>
          <w:bCs/>
          <w:color w:val="FF0000"/>
          <w:sz w:val="24"/>
        </w:rPr>
        <w:t>可招选﹢竞拍。</w:t>
      </w:r>
    </w:p>
    <w:p w14:paraId="1F130B5B">
      <w:pPr>
        <w:spacing w:line="360" w:lineRule="auto"/>
        <w:ind w:firstLine="426" w:firstLineChars="177"/>
        <w:rPr>
          <w:b/>
          <w:sz w:val="24"/>
        </w:rPr>
      </w:pPr>
      <w:r>
        <w:rPr>
          <w:b/>
          <w:sz w:val="24"/>
        </w:rPr>
        <w:t>二、定标办法：</w:t>
      </w:r>
    </w:p>
    <w:p w14:paraId="2B4D6F48">
      <w:pPr>
        <w:spacing w:line="360" w:lineRule="auto"/>
        <w:ind w:firstLine="426" w:firstLineChars="177"/>
        <w:rPr>
          <w:b/>
          <w:sz w:val="24"/>
        </w:rPr>
      </w:pPr>
      <w:bookmarkStart w:id="2" w:name="OLE_LINK4"/>
      <w:bookmarkStart w:id="3" w:name="OLE_LINK3"/>
      <w:r>
        <w:rPr>
          <w:rFonts w:hint="eastAsia"/>
          <w:b/>
          <w:sz w:val="24"/>
        </w:rPr>
        <w:t>根据本《华新水泥股份有限公司工程采购管理办法》、公司相关制度的有关精神并结合本工程的实际情况，以公开、公平、公正、科学的原则制定本工程招标、评标、定标办法；招选+竞拍。</w:t>
      </w:r>
    </w:p>
    <w:p w14:paraId="191FBF87">
      <w:pPr>
        <w:spacing w:line="360" w:lineRule="auto"/>
        <w:ind w:firstLine="426" w:firstLineChars="177"/>
        <w:rPr>
          <w:b/>
          <w:bCs/>
          <w:color w:val="FF0000"/>
          <w:sz w:val="24"/>
        </w:rPr>
      </w:pPr>
      <w:r>
        <w:rPr>
          <w:rFonts w:hint="eastAsia"/>
          <w:b/>
          <w:color w:val="FF0000"/>
          <w:sz w:val="24"/>
        </w:rPr>
        <w:t>有效合理商务、技术评审合格供应商，邀请参与</w:t>
      </w:r>
      <w:r>
        <w:rPr>
          <w:rFonts w:hint="eastAsia"/>
          <w:b/>
          <w:bCs/>
          <w:color w:val="FF0000"/>
          <w:sz w:val="24"/>
        </w:rPr>
        <w:t>招选﹢竞拍。</w:t>
      </w:r>
    </w:p>
    <w:p w14:paraId="679F2745">
      <w:pPr>
        <w:spacing w:line="360" w:lineRule="auto"/>
        <w:ind w:firstLine="426" w:firstLineChars="177"/>
        <w:rPr>
          <w:b/>
          <w:bCs/>
          <w:color w:val="FF0000"/>
          <w:sz w:val="24"/>
        </w:rPr>
      </w:pPr>
      <w:r>
        <w:rPr>
          <w:rFonts w:hint="eastAsia"/>
          <w:b/>
          <w:bCs/>
          <w:color w:val="FF0000"/>
          <w:sz w:val="24"/>
        </w:rPr>
        <w:t xml:space="preserve">投标报价不作为最终中标价格，有效合理商务标、技术评审合格供应商，邀请参与竞拍，以竞拍合理最低价中标原则。 </w:t>
      </w:r>
    </w:p>
    <w:p w14:paraId="72BCAFBA">
      <w:pPr>
        <w:spacing w:line="360" w:lineRule="auto"/>
        <w:ind w:firstLine="426" w:firstLineChars="177"/>
        <w:rPr>
          <w:b/>
          <w:color w:val="FF0000"/>
          <w:sz w:val="24"/>
        </w:rPr>
      </w:pPr>
      <w:r>
        <w:rPr>
          <w:rFonts w:hint="eastAsia"/>
          <w:b/>
          <w:bCs/>
          <w:color w:val="FF0000"/>
          <w:sz w:val="24"/>
        </w:rPr>
        <w:t>竞拍中标供应商最终分项价格确定（按投标价格比例分项同步下调）</w:t>
      </w:r>
      <w:r>
        <w:rPr>
          <w:rFonts w:hint="eastAsia"/>
          <w:b/>
          <w:color w:val="FF0000"/>
          <w:sz w:val="24"/>
        </w:rPr>
        <w:t>最低价中标。</w:t>
      </w:r>
      <w:bookmarkEnd w:id="2"/>
      <w:bookmarkEnd w:id="3"/>
    </w:p>
    <w:p w14:paraId="1D2A06CC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  <w:between w:val="single" w:color="auto" w:sz="4" w:space="1"/>
        </w:pBdr>
        <w:ind w:firstLine="640" w:firstLineChars="200"/>
        <w:rPr>
          <w:b/>
          <w:color w:val="FF0000"/>
          <w:sz w:val="32"/>
        </w:rPr>
      </w:pPr>
      <w:r>
        <w:rPr>
          <w:rFonts w:hint="eastAsia"/>
          <w:bCs/>
          <w:sz w:val="32"/>
        </w:rPr>
        <w:t>本次投标主要事项：</w:t>
      </w:r>
      <w:r>
        <w:rPr>
          <w:rFonts w:hint="eastAsia"/>
          <w:b/>
          <w:color w:val="17375E" w:themeColor="text2" w:themeShade="BF"/>
          <w:sz w:val="32"/>
          <w:highlight w:val="yellow"/>
        </w:rPr>
        <w:t>应选截止时间以挂网截止时间为准，逾期不予受理；本次招选原则进行二轮，第一轮技术标</w:t>
      </w:r>
      <w:r>
        <w:rPr>
          <w:b/>
          <w:color w:val="FF0000"/>
          <w:sz w:val="28"/>
        </w:rPr>
        <w:t>供应商要提供详细供货范围清单，供我们技术评审，完整合格者进入二轮参加报价</w:t>
      </w:r>
      <w:r>
        <w:rPr>
          <w:rFonts w:hint="eastAsia"/>
          <w:b/>
          <w:color w:val="FF0000"/>
          <w:sz w:val="28"/>
        </w:rPr>
        <w:t>,不合格者直接淘汰</w:t>
      </w:r>
      <w:r>
        <w:rPr>
          <w:rFonts w:hint="eastAsia"/>
          <w:b/>
          <w:color w:val="17375E" w:themeColor="text2" w:themeShade="BF"/>
          <w:sz w:val="32"/>
          <w:highlight w:val="yellow"/>
        </w:rPr>
        <w:t>（系统报价统一填写价格“</w:t>
      </w:r>
      <w:r>
        <w:rPr>
          <w:b/>
          <w:color w:val="17375E" w:themeColor="text2" w:themeShade="BF"/>
          <w:sz w:val="32"/>
          <w:highlight w:val="yellow"/>
        </w:rPr>
        <w:t>1</w:t>
      </w:r>
      <w:r>
        <w:rPr>
          <w:rFonts w:hint="eastAsia"/>
          <w:b/>
          <w:color w:val="17375E" w:themeColor="text2" w:themeShade="BF"/>
          <w:sz w:val="32"/>
          <w:highlight w:val="yellow"/>
        </w:rPr>
        <w:t>”且无需上传报价表），通过招选委员评审确认，满足技术标要求单位方可进入第二轮；各入围供应商及时进行网上报价，第二轮价格标（系统正常报价并上传报价表）。</w:t>
      </w:r>
    </w:p>
    <w:p w14:paraId="091EEAAF">
      <w:pPr>
        <w:adjustRightInd w:val="0"/>
        <w:snapToGrid w:val="0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华新水泥供应商平台电子竞价系统供应商端操作手册：</w:t>
      </w:r>
    </w:p>
    <w:p w14:paraId="59ED965E">
      <w:pPr>
        <w:adjustRightInd w:val="0"/>
        <w:snapToGrid w:val="0"/>
        <w:spacing w:line="360" w:lineRule="auto"/>
        <w:ind w:firstLine="480" w:firstLineChars="200"/>
        <w:rPr>
          <w:bCs/>
          <w:sz w:val="24"/>
        </w:rPr>
      </w:pPr>
      <w:r>
        <w:rPr>
          <w:bCs/>
          <w:sz w:val="24"/>
        </w:rPr>
        <w:object>
          <v:shape id="_x0000_i1025" o:spt="75" type="#_x0000_t75" style="height:52pt;width:74.5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Package" ShapeID="_x0000_i1025" DrawAspect="Icon" ObjectID="_1468075725" r:id="rId5">
            <o:LockedField>false</o:LockedField>
          </o:OLEObject>
        </w:object>
      </w:r>
    </w:p>
    <w:p w14:paraId="32D581F4">
      <w:pPr>
        <w:adjustRightInd w:val="0"/>
        <w:snapToGrid w:val="0"/>
        <w:spacing w:line="360" w:lineRule="auto"/>
        <w:ind w:firstLine="480" w:firstLineChars="200"/>
        <w:rPr>
          <w:bCs/>
          <w:sz w:val="24"/>
        </w:rPr>
      </w:pPr>
      <w:r>
        <w:rPr>
          <w:bCs/>
          <w:sz w:val="24"/>
        </w:rPr>
        <w:t>资质要求：</w:t>
      </w:r>
      <w:r>
        <w:rPr>
          <w:rFonts w:hint="eastAsia"/>
          <w:bCs/>
          <w:sz w:val="24"/>
        </w:rPr>
        <w:t>营业执照范围内，具备相关业绩，并报请公司技术审核通过予以入围，均可参加投标。</w:t>
      </w:r>
    </w:p>
    <w:p w14:paraId="0D2F0A83">
      <w:pPr>
        <w:adjustRightInd w:val="0"/>
        <w:snapToGrid w:val="0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招标项目资料：标书资质审核通过后下载。（</w:t>
      </w:r>
      <w:r>
        <w:rPr>
          <w:rFonts w:hint="eastAsia"/>
          <w:b/>
          <w:bCs/>
          <w:color w:val="FF0000"/>
          <w:sz w:val="24"/>
        </w:rPr>
        <w:t>特别提醒：先通过应标模板资质审核后，在系统才能报价</w:t>
      </w:r>
      <w:r>
        <w:rPr>
          <w:rFonts w:hint="eastAsia"/>
          <w:bCs/>
          <w:sz w:val="24"/>
        </w:rPr>
        <w:t>）</w:t>
      </w:r>
    </w:p>
    <w:p w14:paraId="6D3A1B28">
      <w:pPr>
        <w:adjustRightInd w:val="0"/>
        <w:snapToGrid w:val="0"/>
        <w:spacing w:line="360" w:lineRule="auto"/>
        <w:ind w:firstLine="800" w:firstLineChars="200"/>
        <w:rPr>
          <w:bCs/>
          <w:sz w:val="24"/>
        </w:rPr>
      </w:pPr>
      <w:r>
        <w:rPr>
          <w:rFonts w:hint="eastAsia"/>
          <w:bCs/>
          <w:sz w:val="40"/>
        </w:rPr>
        <w:t>评标原则</w:t>
      </w:r>
      <w:r>
        <w:rPr>
          <w:rFonts w:hint="eastAsia"/>
          <w:bCs/>
          <w:sz w:val="24"/>
        </w:rPr>
        <w:t>：</w:t>
      </w:r>
      <w:r>
        <w:rPr>
          <w:bCs/>
          <w:sz w:val="24"/>
        </w:rPr>
        <w:t xml:space="preserve"> </w:t>
      </w:r>
      <w:r>
        <w:rPr>
          <w:bCs/>
          <w:sz w:val="24"/>
        </w:rPr>
        <w:object>
          <v:shape id="_x0000_i1026" o:spt="75" type="#_x0000_t75" style="height:52pt;width:75pt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  <o:OLEObject Type="Embed" ProgID="Excel.Sheet.8" ShapeID="_x0000_i1026" DrawAspect="Icon" ObjectID="_1468075726" r:id="rId7">
            <o:LockedField>false</o:LockedField>
          </o:OLEObject>
        </w:object>
      </w:r>
    </w:p>
    <w:p w14:paraId="7972C046">
      <w:pPr>
        <w:adjustRightInd w:val="0"/>
        <w:snapToGrid w:val="0"/>
        <w:spacing w:line="360" w:lineRule="auto"/>
        <w:ind w:firstLine="480" w:firstLineChars="200"/>
        <w:rPr>
          <w:bCs/>
          <w:sz w:val="24"/>
        </w:rPr>
      </w:pPr>
      <w:bookmarkStart w:id="4" w:name="_GoBack"/>
      <w:bookmarkEnd w:id="4"/>
    </w:p>
    <w:sectPr>
      <w:footerReference r:id="rId3" w:type="default"/>
      <w:pgSz w:w="11907" w:h="16840"/>
      <w:pgMar w:top="1134" w:right="1134" w:bottom="1134" w:left="1134" w:header="567" w:footer="567" w:gutter="0"/>
      <w:pgNumType w:start="1"/>
      <w:cols w:space="720" w:num="1"/>
      <w:docGrid w:linePitch="27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AD06D1">
    <w:pPr>
      <w:pStyle w:val="4"/>
      <w:ind w:right="360"/>
      <w:jc w:val="center"/>
    </w:pPr>
    <w:r>
      <w:rPr>
        <w:rFonts w:hint="eastAsia"/>
      </w:rPr>
      <w:t>第</w:t>
    </w: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  <w:r>
      <w:rPr>
        <w:rFonts w:hint="eastAsia"/>
      </w:rPr>
      <w:t>页</w:t>
    </w:r>
  </w:p>
  <w:p w14:paraId="15159752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9EF"/>
    <w:rsid w:val="000111D1"/>
    <w:rsid w:val="0003327F"/>
    <w:rsid w:val="000409D0"/>
    <w:rsid w:val="00046AB1"/>
    <w:rsid w:val="00073278"/>
    <w:rsid w:val="00085C29"/>
    <w:rsid w:val="000A013F"/>
    <w:rsid w:val="000B555B"/>
    <w:rsid w:val="000F57A3"/>
    <w:rsid w:val="00117224"/>
    <w:rsid w:val="00121ED4"/>
    <w:rsid w:val="00126714"/>
    <w:rsid w:val="001279A0"/>
    <w:rsid w:val="00184871"/>
    <w:rsid w:val="00195A48"/>
    <w:rsid w:val="001A5BAC"/>
    <w:rsid w:val="001E1B0E"/>
    <w:rsid w:val="001F14B5"/>
    <w:rsid w:val="001F49B3"/>
    <w:rsid w:val="00201C5A"/>
    <w:rsid w:val="00204A00"/>
    <w:rsid w:val="002333A0"/>
    <w:rsid w:val="00242E93"/>
    <w:rsid w:val="00244D55"/>
    <w:rsid w:val="00252B0D"/>
    <w:rsid w:val="00266BCB"/>
    <w:rsid w:val="002679A8"/>
    <w:rsid w:val="002926AD"/>
    <w:rsid w:val="002A7DCD"/>
    <w:rsid w:val="002C7D7F"/>
    <w:rsid w:val="002F4820"/>
    <w:rsid w:val="002F7A7F"/>
    <w:rsid w:val="003118CF"/>
    <w:rsid w:val="003149E6"/>
    <w:rsid w:val="00317B22"/>
    <w:rsid w:val="00322A00"/>
    <w:rsid w:val="00330E64"/>
    <w:rsid w:val="00345A91"/>
    <w:rsid w:val="003C3024"/>
    <w:rsid w:val="003C62BE"/>
    <w:rsid w:val="003C7376"/>
    <w:rsid w:val="0040779A"/>
    <w:rsid w:val="00420AD2"/>
    <w:rsid w:val="004406FC"/>
    <w:rsid w:val="00447619"/>
    <w:rsid w:val="00462F29"/>
    <w:rsid w:val="00483122"/>
    <w:rsid w:val="004A5626"/>
    <w:rsid w:val="004A632B"/>
    <w:rsid w:val="004B5EB6"/>
    <w:rsid w:val="00506FD5"/>
    <w:rsid w:val="005159EF"/>
    <w:rsid w:val="00540C08"/>
    <w:rsid w:val="00555367"/>
    <w:rsid w:val="00585D8F"/>
    <w:rsid w:val="005D64E0"/>
    <w:rsid w:val="005D72B8"/>
    <w:rsid w:val="005F5A71"/>
    <w:rsid w:val="00613463"/>
    <w:rsid w:val="00641E6A"/>
    <w:rsid w:val="00653708"/>
    <w:rsid w:val="00690D38"/>
    <w:rsid w:val="00690D55"/>
    <w:rsid w:val="006A4015"/>
    <w:rsid w:val="006B0F1C"/>
    <w:rsid w:val="006B2EEF"/>
    <w:rsid w:val="006B434E"/>
    <w:rsid w:val="006C1610"/>
    <w:rsid w:val="006D0A3E"/>
    <w:rsid w:val="006D0C55"/>
    <w:rsid w:val="00710706"/>
    <w:rsid w:val="00711086"/>
    <w:rsid w:val="00733074"/>
    <w:rsid w:val="007346F9"/>
    <w:rsid w:val="00777EC6"/>
    <w:rsid w:val="00797DB5"/>
    <w:rsid w:val="007B6293"/>
    <w:rsid w:val="007C4AF0"/>
    <w:rsid w:val="007F0E42"/>
    <w:rsid w:val="008062C4"/>
    <w:rsid w:val="0080740B"/>
    <w:rsid w:val="0081732B"/>
    <w:rsid w:val="00817CD3"/>
    <w:rsid w:val="00822D29"/>
    <w:rsid w:val="00834F3A"/>
    <w:rsid w:val="00847CC6"/>
    <w:rsid w:val="00850BFA"/>
    <w:rsid w:val="00852EDC"/>
    <w:rsid w:val="00857B0F"/>
    <w:rsid w:val="008749F1"/>
    <w:rsid w:val="0088164F"/>
    <w:rsid w:val="008B1B83"/>
    <w:rsid w:val="008C461B"/>
    <w:rsid w:val="008D6185"/>
    <w:rsid w:val="008F24BB"/>
    <w:rsid w:val="0090153A"/>
    <w:rsid w:val="00903831"/>
    <w:rsid w:val="009074FF"/>
    <w:rsid w:val="00914523"/>
    <w:rsid w:val="00917D41"/>
    <w:rsid w:val="009218A7"/>
    <w:rsid w:val="009271A4"/>
    <w:rsid w:val="00940572"/>
    <w:rsid w:val="00950715"/>
    <w:rsid w:val="00952412"/>
    <w:rsid w:val="00961A74"/>
    <w:rsid w:val="009641AA"/>
    <w:rsid w:val="00986901"/>
    <w:rsid w:val="009A6093"/>
    <w:rsid w:val="009B556F"/>
    <w:rsid w:val="009C7983"/>
    <w:rsid w:val="00A029F6"/>
    <w:rsid w:val="00A43BBA"/>
    <w:rsid w:val="00A7124D"/>
    <w:rsid w:val="00A7395E"/>
    <w:rsid w:val="00A93C6F"/>
    <w:rsid w:val="00AB02D4"/>
    <w:rsid w:val="00AB593D"/>
    <w:rsid w:val="00AC1AC0"/>
    <w:rsid w:val="00AD69AF"/>
    <w:rsid w:val="00AE24FF"/>
    <w:rsid w:val="00AE289A"/>
    <w:rsid w:val="00AE3F4D"/>
    <w:rsid w:val="00B5093A"/>
    <w:rsid w:val="00B66DD8"/>
    <w:rsid w:val="00B72B86"/>
    <w:rsid w:val="00B74E3D"/>
    <w:rsid w:val="00B7683F"/>
    <w:rsid w:val="00B772F9"/>
    <w:rsid w:val="00B90E3F"/>
    <w:rsid w:val="00B92115"/>
    <w:rsid w:val="00BC33D5"/>
    <w:rsid w:val="00BE53FD"/>
    <w:rsid w:val="00BF3CEE"/>
    <w:rsid w:val="00C00CE9"/>
    <w:rsid w:val="00C02C41"/>
    <w:rsid w:val="00C0570E"/>
    <w:rsid w:val="00C21C3E"/>
    <w:rsid w:val="00C329C5"/>
    <w:rsid w:val="00C34B68"/>
    <w:rsid w:val="00C55EF9"/>
    <w:rsid w:val="00C75477"/>
    <w:rsid w:val="00C86D42"/>
    <w:rsid w:val="00CA003B"/>
    <w:rsid w:val="00CF1B4A"/>
    <w:rsid w:val="00D01B5E"/>
    <w:rsid w:val="00D02CC1"/>
    <w:rsid w:val="00D41EBF"/>
    <w:rsid w:val="00D65C55"/>
    <w:rsid w:val="00D77CF4"/>
    <w:rsid w:val="00DB3CFE"/>
    <w:rsid w:val="00DD0955"/>
    <w:rsid w:val="00DF1901"/>
    <w:rsid w:val="00DF2A5B"/>
    <w:rsid w:val="00E12FFB"/>
    <w:rsid w:val="00E151BB"/>
    <w:rsid w:val="00E16925"/>
    <w:rsid w:val="00E42899"/>
    <w:rsid w:val="00E60834"/>
    <w:rsid w:val="00E734A6"/>
    <w:rsid w:val="00EA0436"/>
    <w:rsid w:val="00EE2271"/>
    <w:rsid w:val="00EE35D7"/>
    <w:rsid w:val="00EE3C70"/>
    <w:rsid w:val="00EE529D"/>
    <w:rsid w:val="00EE54FE"/>
    <w:rsid w:val="00EF7F2C"/>
    <w:rsid w:val="00F46418"/>
    <w:rsid w:val="00F4727B"/>
    <w:rsid w:val="00F63DA5"/>
    <w:rsid w:val="00F80FD9"/>
    <w:rsid w:val="00F812DD"/>
    <w:rsid w:val="00FB37F4"/>
    <w:rsid w:val="00FC109E"/>
    <w:rsid w:val="00FE2275"/>
    <w:rsid w:val="00FF1BB3"/>
    <w:rsid w:val="17E3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3"/>
    <w:semiHidden/>
    <w:unhideWhenUsed/>
    <w:uiPriority w:val="99"/>
    <w:pPr>
      <w:spacing w:after="120"/>
      <w:ind w:left="420" w:leftChars="200"/>
    </w:pPr>
  </w:style>
  <w:style w:type="paragraph" w:styleId="3">
    <w:name w:val="Balloon Text"/>
    <w:basedOn w:val="1"/>
    <w:link w:val="15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Normal (Web)"/>
    <w:basedOn w:val="1"/>
    <w:link w:val="16"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7">
    <w:name w:val="Body Text First Indent 2"/>
    <w:basedOn w:val="2"/>
    <w:link w:val="14"/>
    <w:unhideWhenUsed/>
    <w:qFormat/>
    <w:uiPriority w:val="99"/>
    <w:pPr>
      <w:ind w:firstLine="420" w:firstLineChars="200"/>
    </w:pPr>
    <w:rPr>
      <w:rFonts w:ascii="Calibri" w:hAnsi="Calibri"/>
    </w:rPr>
  </w:style>
  <w:style w:type="character" w:customStyle="1" w:styleId="10">
    <w:name w:val="页眉 字符"/>
    <w:basedOn w:val="9"/>
    <w:link w:val="5"/>
    <w:uiPriority w:val="99"/>
    <w:rPr>
      <w:sz w:val="18"/>
      <w:szCs w:val="18"/>
    </w:rPr>
  </w:style>
  <w:style w:type="character" w:customStyle="1" w:styleId="11">
    <w:name w:val="页脚 字符1"/>
    <w:basedOn w:val="9"/>
    <w:link w:val="4"/>
    <w:uiPriority w:val="99"/>
    <w:rPr>
      <w:sz w:val="18"/>
      <w:szCs w:val="18"/>
    </w:rPr>
  </w:style>
  <w:style w:type="character" w:customStyle="1" w:styleId="12">
    <w:name w:val="页脚 字符"/>
    <w:qFormat/>
    <w:uiPriority w:val="0"/>
    <w:rPr>
      <w:sz w:val="18"/>
      <w:szCs w:val="18"/>
    </w:rPr>
  </w:style>
  <w:style w:type="character" w:customStyle="1" w:styleId="13">
    <w:name w:val="正文文本缩进 字符"/>
    <w:basedOn w:val="9"/>
    <w:link w:val="2"/>
    <w:semiHidden/>
    <w:uiPriority w:val="99"/>
    <w:rPr>
      <w:rFonts w:ascii="Times New Roman" w:hAnsi="Times New Roman" w:eastAsia="宋体" w:cs="Times New Roman"/>
      <w:szCs w:val="24"/>
    </w:rPr>
  </w:style>
  <w:style w:type="character" w:customStyle="1" w:styleId="14">
    <w:name w:val="正文文本首行缩进 2 字符"/>
    <w:basedOn w:val="13"/>
    <w:link w:val="7"/>
    <w:uiPriority w:val="99"/>
    <w:rPr>
      <w:rFonts w:ascii="Calibri" w:hAnsi="Calibri" w:eastAsia="宋体" w:cs="Times New Roman"/>
      <w:szCs w:val="24"/>
    </w:rPr>
  </w:style>
  <w:style w:type="character" w:customStyle="1" w:styleId="15">
    <w:name w:val="批注框文本 字符"/>
    <w:basedOn w:val="9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普通(网站) 字符"/>
    <w:link w:val="6"/>
    <w:uiPriority w:val="99"/>
    <w:rPr>
      <w:rFonts w:ascii="宋体" w:hAnsi="宋体" w:eastAsia="宋体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2.emf"/><Relationship Id="rId7" Type="http://schemas.openxmlformats.org/officeDocument/2006/relationships/oleObject" Target="embeddings/oleObject2.bin"/><Relationship Id="rId6" Type="http://schemas.openxmlformats.org/officeDocument/2006/relationships/image" Target="media/image1.emf"/><Relationship Id="rId5" Type="http://schemas.openxmlformats.org/officeDocument/2006/relationships/oleObject" Target="embeddings/oleObject1.bin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698</Words>
  <Characters>698</Characters>
  <Lines>5</Lines>
  <Paragraphs>1</Paragraphs>
  <TotalTime>30</TotalTime>
  <ScaleCrop>false</ScaleCrop>
  <LinksUpToDate>false</LinksUpToDate>
  <CharactersWithSpaces>701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2025-04-16T06:44:00Z</dcterms:created>
  <dc:creator>???</dc:creator>
  <cp:lastModifiedBy>如初</cp:lastModifiedBy>
  <dcterms:modified xsi:type="dcterms:W3CDTF">2026-06-09T07:31:17Z</dcterms:modified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eyJoZGlkIjoiYjM1Y2E0ZTdiYzcwMDNkODA1ZTcwNmU2N2FlMzBkZDkiLCJ1c2VySWQiOiIxMDc0NDA3MTgyIn0=</vt:lpwstr>
  </property>
  <property fmtid="{D5CDD505-2E9C-101B-9397-08002B2CF9AE}" pid="3" name="KSOProductBuildVer">
    <vt:lpwstr>2052-12.1.0.26375</vt:lpwstr>
  </property>
  <property fmtid="{D5CDD505-2E9C-101B-9397-08002B2CF9AE}" pid="4" name="ICV">
    <vt:lpwstr>F10005FA5FA44090B7A78E6FCA1F0C5A_12</vt:lpwstr>
  </property>
</Properties>
</file>