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8AAED">
      <w:pPr>
        <w:adjustRightInd w:val="0"/>
        <w:snapToGrid w:val="0"/>
        <w:spacing w:line="300" w:lineRule="auto"/>
        <w:jc w:val="center"/>
        <w:rPr>
          <w:rFonts w:hint="eastAsia"/>
          <w:sz w:val="28"/>
          <w:szCs w:val="30"/>
        </w:rPr>
      </w:pPr>
      <w:r>
        <w:rPr>
          <w:rFonts w:hint="eastAsia"/>
          <w:sz w:val="28"/>
          <w:szCs w:val="30"/>
        </w:rPr>
        <w:t xml:space="preserve">   </w:t>
      </w:r>
    </w:p>
    <w:p w14:paraId="438D9013">
      <w:pPr>
        <w:adjustRightInd w:val="0"/>
        <w:snapToGrid w:val="0"/>
        <w:spacing w:line="240" w:lineRule="auto"/>
        <w:rPr>
          <w:rFonts w:hint="eastAsia" w:eastAsia="宋体"/>
          <w:lang w:eastAsia="zh-CN"/>
        </w:rPr>
      </w:pPr>
      <w:r>
        <w:rPr>
          <w:rFonts w:hint="eastAsia" w:eastAsia="宋体"/>
          <w:lang w:eastAsia="zh-CN"/>
        </w:rPr>
        <w:drawing>
          <wp:inline distT="0" distB="0" distL="114300" distR="114300">
            <wp:extent cx="2990850" cy="723900"/>
            <wp:effectExtent l="0" t="0" r="6350" b="0"/>
            <wp:docPr id="9" name="图片 9" descr="d50b12f4071db6c8b08f29ebff2c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50b12f4071db6c8b08f29ebff2c664"/>
                    <pic:cNvPicPr>
                      <a:picLocks noChangeAspect="1"/>
                    </pic:cNvPicPr>
                  </pic:nvPicPr>
                  <pic:blipFill>
                    <a:blip r:embed="rId5"/>
                    <a:stretch>
                      <a:fillRect/>
                    </a:stretch>
                  </pic:blipFill>
                  <pic:spPr>
                    <a:xfrm>
                      <a:off x="0" y="0"/>
                      <a:ext cx="2990850" cy="723900"/>
                    </a:xfrm>
                    <a:prstGeom prst="rect">
                      <a:avLst/>
                    </a:prstGeom>
                  </pic:spPr>
                </pic:pic>
              </a:graphicData>
            </a:graphic>
          </wp:inline>
        </w:drawing>
      </w:r>
    </w:p>
    <w:p w14:paraId="56A416C5">
      <w:pPr>
        <w:adjustRightInd w:val="0"/>
        <w:snapToGrid w:val="0"/>
        <w:spacing w:line="640" w:lineRule="exact"/>
        <w:rPr>
          <w:rFonts w:hint="eastAsia" w:eastAsia="宋体"/>
          <w:lang w:eastAsia="zh-CN"/>
        </w:rPr>
      </w:pPr>
    </w:p>
    <w:p w14:paraId="4F3A9986">
      <w:pPr>
        <w:adjustRightInd w:val="0"/>
        <w:snapToGrid w:val="0"/>
        <w:spacing w:line="640" w:lineRule="exact"/>
        <w:rPr>
          <w:rFonts w:eastAsia="仿宋_GB2312"/>
          <w:b/>
          <w:bCs/>
          <w:sz w:val="44"/>
        </w:rPr>
      </w:pPr>
    </w:p>
    <w:p w14:paraId="16207CDA">
      <w:pPr>
        <w:tabs>
          <w:tab w:val="left" w:pos="5400"/>
        </w:tabs>
        <w:ind w:left="360" w:leftChars="100" w:hanging="150" w:hangingChars="50"/>
        <w:rPr>
          <w:rFonts w:eastAsia="隶书"/>
          <w:b/>
          <w:bCs/>
          <w:sz w:val="30"/>
          <w:szCs w:val="30"/>
        </w:rPr>
      </w:pPr>
      <w:r>
        <w:rPr>
          <w:rFonts w:hint="eastAsia"/>
          <w:sz w:val="30"/>
          <w:szCs w:val="30"/>
        </w:rPr>
        <w:t xml:space="preserve">                                                       </w:t>
      </w:r>
    </w:p>
    <w:p w14:paraId="7762827F">
      <w:pPr>
        <w:jc w:val="center"/>
        <w:rPr>
          <w:rFonts w:ascii="隶书" w:eastAsia="隶书"/>
          <w:sz w:val="30"/>
          <w:szCs w:val="30"/>
        </w:rPr>
      </w:pPr>
      <w:r>
        <w:rPr>
          <w:rFonts w:hint="eastAsia" w:eastAsia="隶书"/>
          <w:b/>
          <w:bCs/>
          <w:sz w:val="30"/>
          <w:szCs w:val="30"/>
        </w:rPr>
        <w:t xml:space="preserve">                        </w:t>
      </w:r>
    </w:p>
    <w:p w14:paraId="19353109">
      <w:pPr>
        <w:jc w:val="center"/>
        <w:rPr>
          <w:b/>
          <w:bCs/>
          <w:sz w:val="30"/>
          <w:szCs w:val="30"/>
        </w:rPr>
      </w:pPr>
    </w:p>
    <w:p w14:paraId="7FFAA433">
      <w:pPr>
        <w:jc w:val="both"/>
        <w:rPr>
          <w:rFonts w:eastAsia="黑体"/>
          <w:b/>
          <w:bCs/>
          <w:sz w:val="36"/>
          <w:szCs w:val="36"/>
        </w:rPr>
      </w:pPr>
    </w:p>
    <w:p w14:paraId="1518D301">
      <w:pPr>
        <w:jc w:val="both"/>
        <w:rPr>
          <w:rFonts w:eastAsia="黑体"/>
          <w:b/>
          <w:bCs/>
          <w:sz w:val="36"/>
          <w:szCs w:val="36"/>
        </w:rPr>
      </w:pPr>
    </w:p>
    <w:p w14:paraId="37E42076">
      <w:pPr>
        <w:jc w:val="center"/>
        <w:rPr>
          <w:rFonts w:hint="default" w:ascii="黑体" w:hAnsi="黑体" w:eastAsia="黑体" w:cs="黑体"/>
          <w:b/>
          <w:bCs/>
          <w:sz w:val="36"/>
          <w:szCs w:val="36"/>
          <w:lang w:val="en-US" w:eastAsia="zh-CN"/>
        </w:rPr>
      </w:pPr>
      <w:r>
        <w:rPr>
          <w:rFonts w:hint="eastAsia" w:ascii="黑体" w:hAnsi="黑体" w:eastAsia="黑体" w:cs="黑体"/>
          <w:b/>
          <w:bCs/>
          <w:sz w:val="36"/>
          <w:szCs w:val="36"/>
          <w:lang w:val="en-US" w:eastAsia="zh-CN"/>
        </w:rPr>
        <w:t>华新水泥(襄阳)有限公司矿山道路路面硬化及截排水沟工程项目招选&amp;竞拍公告</w:t>
      </w:r>
    </w:p>
    <w:p w14:paraId="337F686A">
      <w:pPr>
        <w:jc w:val="center"/>
        <w:rPr>
          <w:b/>
          <w:bCs/>
          <w:sz w:val="30"/>
          <w:szCs w:val="30"/>
        </w:rPr>
      </w:pPr>
    </w:p>
    <w:p w14:paraId="151B32CA">
      <w:pPr>
        <w:jc w:val="center"/>
        <w:rPr>
          <w:b/>
          <w:bCs/>
          <w:sz w:val="30"/>
          <w:szCs w:val="30"/>
        </w:rPr>
      </w:pPr>
    </w:p>
    <w:tbl>
      <w:tblPr>
        <w:tblStyle w:val="16"/>
        <w:tblW w:w="930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2121"/>
        <w:gridCol w:w="708"/>
        <w:gridCol w:w="1140"/>
        <w:gridCol w:w="48"/>
        <w:gridCol w:w="3174"/>
      </w:tblGrid>
      <w:tr w14:paraId="689236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42" w:hRule="atLeast"/>
          <w:jc w:val="center"/>
        </w:trPr>
        <w:tc>
          <w:tcPr>
            <w:tcW w:w="2117" w:type="dxa"/>
            <w:vAlign w:val="center"/>
          </w:tcPr>
          <w:p w14:paraId="3826F934">
            <w:pPr>
              <w:adjustRightInd w:val="0"/>
              <w:snapToGrid w:val="0"/>
              <w:spacing w:line="300" w:lineRule="auto"/>
              <w:jc w:val="center"/>
              <w:rPr>
                <w:rFonts w:asciiTheme="minorEastAsia" w:hAnsiTheme="minorEastAsia" w:eastAsiaTheme="minorEastAsia"/>
                <w:b/>
                <w:snapToGrid w:val="0"/>
                <w:color w:val="000000"/>
                <w:sz w:val="22"/>
              </w:rPr>
            </w:pPr>
            <w:r>
              <w:rPr>
                <w:rFonts w:hint="eastAsia" w:asciiTheme="minorEastAsia" w:hAnsiTheme="minorEastAsia" w:eastAsiaTheme="minorEastAsia"/>
                <w:b/>
                <w:snapToGrid w:val="0"/>
                <w:color w:val="000000"/>
                <w:sz w:val="22"/>
              </w:rPr>
              <w:t>项目名称</w:t>
            </w:r>
          </w:p>
        </w:tc>
        <w:tc>
          <w:tcPr>
            <w:tcW w:w="7191" w:type="dxa"/>
            <w:gridSpan w:val="5"/>
            <w:tcBorders>
              <w:bottom w:val="single" w:color="auto" w:sz="8" w:space="0"/>
            </w:tcBorders>
            <w:vAlign w:val="center"/>
          </w:tcPr>
          <w:p w14:paraId="6FD764FC">
            <w:pPr>
              <w:adjustRightInd w:val="0"/>
              <w:snapToGrid w:val="0"/>
              <w:spacing w:line="300" w:lineRule="auto"/>
              <w:jc w:val="center"/>
              <w:rPr>
                <w:rFonts w:hint="eastAsia" w:ascii="宋体" w:hAnsi="宋体" w:eastAsia="宋体" w:cs="宋体"/>
                <w:kern w:val="0"/>
                <w:sz w:val="22"/>
                <w:szCs w:val="22"/>
                <w:highlight w:val="none"/>
                <w:lang w:val="en-US" w:eastAsia="zh-CN"/>
              </w:rPr>
            </w:pPr>
            <w:r>
              <w:rPr>
                <w:rFonts w:hint="eastAsia" w:ascii="宋体" w:hAnsi="宋体" w:eastAsia="宋体" w:cs="宋体"/>
                <w:kern w:val="0"/>
                <w:sz w:val="22"/>
                <w:szCs w:val="22"/>
                <w:highlight w:val="none"/>
                <w:lang w:val="en-US" w:eastAsia="zh-CN"/>
              </w:rPr>
              <w:t>华新水泥(襄阳)有限公司矿山道路路面硬化及截排水沟工程</w:t>
            </w:r>
          </w:p>
        </w:tc>
      </w:tr>
      <w:tr w14:paraId="22E8EE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8" w:hRule="atLeast"/>
          <w:jc w:val="center"/>
        </w:trPr>
        <w:tc>
          <w:tcPr>
            <w:tcW w:w="2117" w:type="dxa"/>
            <w:vAlign w:val="center"/>
          </w:tcPr>
          <w:p w14:paraId="580B7F8C">
            <w:pPr>
              <w:adjustRightInd w:val="0"/>
              <w:snapToGrid w:val="0"/>
              <w:spacing w:line="300" w:lineRule="auto"/>
              <w:jc w:val="center"/>
              <w:rPr>
                <w:rFonts w:asciiTheme="minorEastAsia" w:hAnsiTheme="minorEastAsia" w:eastAsiaTheme="minorEastAsia"/>
                <w:b/>
                <w:snapToGrid w:val="0"/>
                <w:color w:val="000000"/>
                <w:sz w:val="22"/>
              </w:rPr>
            </w:pPr>
            <w:r>
              <w:rPr>
                <w:rFonts w:hint="eastAsia" w:asciiTheme="minorEastAsia" w:hAnsiTheme="minorEastAsia" w:eastAsiaTheme="minorEastAsia"/>
                <w:b/>
                <w:snapToGrid w:val="0"/>
                <w:color w:val="000000"/>
                <w:sz w:val="22"/>
              </w:rPr>
              <w:t>项目地点</w:t>
            </w:r>
          </w:p>
        </w:tc>
        <w:tc>
          <w:tcPr>
            <w:tcW w:w="7191" w:type="dxa"/>
            <w:gridSpan w:val="5"/>
            <w:tcBorders>
              <w:bottom w:val="single" w:color="auto" w:sz="8" w:space="0"/>
            </w:tcBorders>
            <w:vAlign w:val="center"/>
          </w:tcPr>
          <w:p w14:paraId="39E4F2B3">
            <w:pPr>
              <w:adjustRightInd w:val="0"/>
              <w:snapToGrid w:val="0"/>
              <w:spacing w:line="300" w:lineRule="auto"/>
              <w:jc w:val="center"/>
              <w:rPr>
                <w:rFonts w:hint="eastAsia" w:ascii="宋体" w:hAnsi="宋体" w:eastAsia="宋体" w:cs="宋体"/>
                <w:snapToGrid w:val="0"/>
                <w:color w:val="000000"/>
                <w:sz w:val="22"/>
                <w:szCs w:val="22"/>
                <w:lang w:val="en-US" w:eastAsia="zh-CN"/>
              </w:rPr>
            </w:pPr>
            <w:r>
              <w:rPr>
                <w:rFonts w:hint="eastAsia" w:ascii="宋体" w:hAnsi="宋体" w:eastAsia="宋体" w:cs="宋体"/>
                <w:snapToGrid w:val="0"/>
                <w:color w:val="000000"/>
                <w:sz w:val="22"/>
                <w:szCs w:val="22"/>
                <w:lang w:val="en-US"/>
              </w:rPr>
              <w:t>华新水泥(襄阳)有限公司</w:t>
            </w:r>
            <w:r>
              <w:rPr>
                <w:rFonts w:hint="eastAsia" w:ascii="宋体" w:hAnsi="宋体" w:eastAsia="宋体" w:cs="宋体"/>
                <w:snapToGrid w:val="0"/>
                <w:color w:val="000000"/>
                <w:sz w:val="22"/>
                <w:szCs w:val="22"/>
                <w:lang w:val="en-US" w:eastAsia="zh-CN"/>
              </w:rPr>
              <w:t>黄家娅矿山</w:t>
            </w:r>
          </w:p>
        </w:tc>
      </w:tr>
      <w:tr w14:paraId="618267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24" w:hRule="atLeast"/>
          <w:jc w:val="center"/>
        </w:trPr>
        <w:tc>
          <w:tcPr>
            <w:tcW w:w="2117" w:type="dxa"/>
            <w:vAlign w:val="center"/>
          </w:tcPr>
          <w:p w14:paraId="2C97FD23">
            <w:pPr>
              <w:adjustRightInd w:val="0"/>
              <w:snapToGrid w:val="0"/>
              <w:spacing w:line="300" w:lineRule="auto"/>
              <w:jc w:val="center"/>
              <w:rPr>
                <w:rFonts w:asciiTheme="minorEastAsia" w:hAnsiTheme="minorEastAsia" w:eastAsiaTheme="minorEastAsia"/>
                <w:b/>
                <w:snapToGrid w:val="0"/>
                <w:color w:val="000000"/>
                <w:sz w:val="22"/>
              </w:rPr>
            </w:pPr>
            <w:r>
              <w:rPr>
                <w:rFonts w:hint="eastAsia" w:asciiTheme="minorEastAsia" w:hAnsiTheme="minorEastAsia" w:eastAsiaTheme="minorEastAsia"/>
                <w:b/>
                <w:snapToGrid w:val="0"/>
                <w:color w:val="000000"/>
                <w:sz w:val="22"/>
              </w:rPr>
              <w:t>招选启动时间</w:t>
            </w:r>
          </w:p>
        </w:tc>
        <w:tc>
          <w:tcPr>
            <w:tcW w:w="2829" w:type="dxa"/>
            <w:gridSpan w:val="2"/>
            <w:tcBorders>
              <w:bottom w:val="single" w:color="auto" w:sz="8" w:space="0"/>
            </w:tcBorders>
            <w:vAlign w:val="center"/>
          </w:tcPr>
          <w:p w14:paraId="5B81BCB4">
            <w:pPr>
              <w:adjustRightInd w:val="0"/>
              <w:snapToGrid w:val="0"/>
              <w:spacing w:line="300" w:lineRule="auto"/>
              <w:jc w:val="center"/>
              <w:rPr>
                <w:rFonts w:hint="eastAsia" w:ascii="宋体" w:hAnsi="宋体" w:eastAsia="宋体" w:cs="宋体"/>
                <w:kern w:val="0"/>
                <w:sz w:val="22"/>
                <w:szCs w:val="22"/>
                <w:highlight w:val="none"/>
                <w:lang w:val="en-US" w:eastAsia="zh-CN"/>
              </w:rPr>
            </w:pPr>
            <w:r>
              <w:rPr>
                <w:rFonts w:hint="eastAsia" w:ascii="宋体" w:hAnsi="宋体" w:eastAsia="宋体" w:cs="宋体"/>
                <w:kern w:val="0"/>
                <w:sz w:val="22"/>
                <w:szCs w:val="22"/>
                <w:highlight w:val="none"/>
              </w:rPr>
              <w:t>202</w:t>
            </w:r>
            <w:r>
              <w:rPr>
                <w:rFonts w:hint="eastAsia" w:ascii="宋体" w:hAnsi="宋体" w:eastAsia="宋体" w:cs="宋体"/>
                <w:kern w:val="0"/>
                <w:sz w:val="22"/>
                <w:szCs w:val="22"/>
                <w:highlight w:val="none"/>
                <w:lang w:val="en-US" w:eastAsia="zh-CN"/>
              </w:rPr>
              <w:t>6</w:t>
            </w:r>
            <w:r>
              <w:rPr>
                <w:rFonts w:hint="eastAsia" w:ascii="宋体" w:hAnsi="宋体" w:eastAsia="宋体" w:cs="宋体"/>
                <w:kern w:val="0"/>
                <w:sz w:val="22"/>
                <w:szCs w:val="22"/>
                <w:highlight w:val="none"/>
              </w:rPr>
              <w:t>年</w:t>
            </w:r>
            <w:r>
              <w:rPr>
                <w:rFonts w:hint="eastAsia" w:ascii="宋体" w:hAnsi="宋体" w:eastAsia="宋体" w:cs="宋体"/>
                <w:kern w:val="0"/>
                <w:sz w:val="22"/>
                <w:szCs w:val="22"/>
                <w:highlight w:val="none"/>
                <w:lang w:val="en-US" w:eastAsia="zh-CN"/>
              </w:rPr>
              <w:t>6月</w:t>
            </w:r>
          </w:p>
        </w:tc>
        <w:tc>
          <w:tcPr>
            <w:tcW w:w="1140" w:type="dxa"/>
            <w:tcBorders>
              <w:bottom w:val="single" w:color="auto" w:sz="8" w:space="0"/>
            </w:tcBorders>
            <w:vAlign w:val="center"/>
          </w:tcPr>
          <w:p w14:paraId="496A0636">
            <w:pPr>
              <w:adjustRightInd w:val="0"/>
              <w:snapToGrid w:val="0"/>
              <w:spacing w:line="300" w:lineRule="auto"/>
              <w:jc w:val="center"/>
              <w:rPr>
                <w:rFonts w:hint="eastAsia" w:ascii="宋体" w:hAnsi="宋体" w:eastAsia="宋体" w:cs="宋体"/>
                <w:kern w:val="0"/>
                <w:sz w:val="22"/>
                <w:szCs w:val="22"/>
                <w:highlight w:val="none"/>
              </w:rPr>
            </w:pPr>
            <w:r>
              <w:rPr>
                <w:rFonts w:hint="eastAsia" w:ascii="宋体" w:hAnsi="宋体" w:eastAsia="宋体" w:cs="宋体"/>
                <w:b/>
                <w:snapToGrid w:val="0"/>
                <w:color w:val="000000"/>
                <w:sz w:val="22"/>
                <w:szCs w:val="22"/>
                <w:highlight w:val="none"/>
              </w:rPr>
              <w:t>报价方式</w:t>
            </w:r>
          </w:p>
        </w:tc>
        <w:tc>
          <w:tcPr>
            <w:tcW w:w="3222" w:type="dxa"/>
            <w:gridSpan w:val="2"/>
            <w:tcBorders>
              <w:bottom w:val="single" w:color="auto" w:sz="8" w:space="0"/>
            </w:tcBorders>
            <w:vAlign w:val="center"/>
          </w:tcPr>
          <w:p w14:paraId="42F0B791">
            <w:pPr>
              <w:adjustRightInd w:val="0"/>
              <w:snapToGrid w:val="0"/>
              <w:spacing w:line="300" w:lineRule="auto"/>
              <w:jc w:val="center"/>
              <w:rPr>
                <w:rFonts w:hint="eastAsia" w:ascii="宋体" w:hAnsi="宋体" w:eastAsia="宋体" w:cs="宋体"/>
                <w:kern w:val="0"/>
                <w:sz w:val="22"/>
                <w:szCs w:val="22"/>
                <w:highlight w:val="none"/>
                <w:lang w:val="en-US" w:eastAsia="zh-CN"/>
              </w:rPr>
            </w:pPr>
            <w:r>
              <w:rPr>
                <w:rFonts w:hint="eastAsia" w:ascii="宋体" w:hAnsi="宋体" w:eastAsia="宋体" w:cs="宋体"/>
                <w:kern w:val="0"/>
                <w:sz w:val="22"/>
                <w:szCs w:val="22"/>
                <w:highlight w:val="none"/>
                <w:lang w:val="en-US" w:eastAsia="zh-CN"/>
              </w:rPr>
              <w:t>线上</w:t>
            </w:r>
          </w:p>
        </w:tc>
      </w:tr>
      <w:tr w14:paraId="67E304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17" w:type="dxa"/>
            <w:vAlign w:val="center"/>
          </w:tcPr>
          <w:p w14:paraId="7EE4E187">
            <w:pPr>
              <w:adjustRightInd w:val="0"/>
              <w:snapToGrid w:val="0"/>
              <w:spacing w:line="300" w:lineRule="auto"/>
              <w:jc w:val="center"/>
              <w:rPr>
                <w:rFonts w:asciiTheme="minorEastAsia" w:hAnsiTheme="minorEastAsia" w:eastAsiaTheme="minorEastAsia"/>
                <w:b/>
                <w:snapToGrid w:val="0"/>
                <w:color w:val="000000"/>
                <w:sz w:val="22"/>
              </w:rPr>
            </w:pPr>
            <w:r>
              <w:rPr>
                <w:rFonts w:hint="eastAsia" w:asciiTheme="minorEastAsia" w:hAnsiTheme="minorEastAsia" w:eastAsiaTheme="minorEastAsia"/>
                <w:b/>
                <w:snapToGrid w:val="0"/>
                <w:color w:val="000000"/>
                <w:sz w:val="22"/>
              </w:rPr>
              <w:t>工程类别</w:t>
            </w:r>
          </w:p>
        </w:tc>
        <w:tc>
          <w:tcPr>
            <w:tcW w:w="2121" w:type="dxa"/>
            <w:vAlign w:val="center"/>
          </w:tcPr>
          <w:p w14:paraId="75F13E8D">
            <w:pPr>
              <w:adjustRightInd w:val="0"/>
              <w:snapToGrid w:val="0"/>
              <w:spacing w:line="300" w:lineRule="auto"/>
              <w:jc w:val="center"/>
              <w:rPr>
                <w:rFonts w:hint="eastAsia" w:ascii="宋体" w:hAnsi="宋体" w:eastAsia="宋体" w:cs="宋体"/>
                <w:snapToGrid w:val="0"/>
                <w:color w:val="000000"/>
                <w:sz w:val="22"/>
                <w:szCs w:val="22"/>
                <w:highlight w:val="none"/>
                <w:lang w:val="en-US" w:eastAsia="zh-CN"/>
              </w:rPr>
            </w:pPr>
            <w:r>
              <w:rPr>
                <w:rFonts w:hint="eastAsia" w:ascii="宋体" w:hAnsi="宋体" w:eastAsia="宋体" w:cs="宋体"/>
                <w:snapToGrid w:val="0"/>
                <w:color w:val="000000"/>
                <w:sz w:val="22"/>
                <w:szCs w:val="22"/>
                <w:highlight w:val="none"/>
                <w:lang w:val="en-US" w:eastAsia="zh-CN"/>
              </w:rPr>
              <w:t>土建</w:t>
            </w:r>
          </w:p>
        </w:tc>
        <w:tc>
          <w:tcPr>
            <w:tcW w:w="1896" w:type="dxa"/>
            <w:gridSpan w:val="3"/>
            <w:vAlign w:val="center"/>
          </w:tcPr>
          <w:p w14:paraId="680E726F">
            <w:pPr>
              <w:adjustRightInd w:val="0"/>
              <w:snapToGrid w:val="0"/>
              <w:spacing w:line="300" w:lineRule="auto"/>
              <w:jc w:val="center"/>
              <w:rPr>
                <w:rFonts w:hint="eastAsia" w:ascii="宋体" w:hAnsi="宋体" w:eastAsia="宋体" w:cs="宋体"/>
                <w:b/>
                <w:snapToGrid w:val="0"/>
                <w:color w:val="000000"/>
                <w:sz w:val="22"/>
                <w:szCs w:val="22"/>
                <w:highlight w:val="none"/>
              </w:rPr>
            </w:pPr>
            <w:r>
              <w:rPr>
                <w:rFonts w:hint="eastAsia" w:ascii="宋体" w:hAnsi="宋体" w:eastAsia="宋体" w:cs="宋体"/>
                <w:b/>
                <w:snapToGrid w:val="0"/>
                <w:color w:val="000000"/>
                <w:sz w:val="22"/>
                <w:szCs w:val="22"/>
                <w:highlight w:val="none"/>
              </w:rPr>
              <w:t>联合体投标</w:t>
            </w:r>
          </w:p>
        </w:tc>
        <w:tc>
          <w:tcPr>
            <w:tcW w:w="3174" w:type="dxa"/>
            <w:vAlign w:val="center"/>
          </w:tcPr>
          <w:p w14:paraId="7DCC435C">
            <w:pPr>
              <w:adjustRightInd w:val="0"/>
              <w:snapToGrid w:val="0"/>
              <w:spacing w:line="300" w:lineRule="auto"/>
              <w:jc w:val="center"/>
              <w:rPr>
                <w:rFonts w:hint="eastAsia" w:ascii="宋体" w:hAnsi="宋体" w:eastAsia="宋体" w:cs="宋体"/>
                <w:snapToGrid w:val="0"/>
                <w:color w:val="000000"/>
                <w:sz w:val="22"/>
                <w:szCs w:val="22"/>
                <w:highlight w:val="none"/>
              </w:rPr>
            </w:pPr>
            <w:r>
              <w:rPr>
                <w:rFonts w:hint="eastAsia" w:ascii="宋体" w:hAnsi="宋体" w:eastAsia="宋体" w:cs="宋体"/>
                <w:snapToGrid w:val="0"/>
                <w:color w:val="000000"/>
                <w:sz w:val="22"/>
                <w:szCs w:val="22"/>
                <w:highlight w:val="none"/>
              </w:rPr>
              <w:t>否</w:t>
            </w:r>
          </w:p>
        </w:tc>
      </w:tr>
      <w:tr w14:paraId="2745DC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17" w:type="dxa"/>
            <w:vAlign w:val="center"/>
          </w:tcPr>
          <w:p w14:paraId="166C419D">
            <w:pPr>
              <w:adjustRightInd w:val="0"/>
              <w:snapToGrid w:val="0"/>
              <w:spacing w:line="300" w:lineRule="auto"/>
              <w:jc w:val="center"/>
              <w:rPr>
                <w:rFonts w:asciiTheme="minorEastAsia" w:hAnsiTheme="minorEastAsia" w:eastAsiaTheme="minorEastAsia"/>
                <w:b/>
                <w:snapToGrid w:val="0"/>
                <w:color w:val="000000"/>
                <w:sz w:val="22"/>
              </w:rPr>
            </w:pPr>
            <w:r>
              <w:rPr>
                <w:rFonts w:hint="eastAsia" w:asciiTheme="minorEastAsia" w:hAnsiTheme="minorEastAsia" w:eastAsiaTheme="minorEastAsia"/>
                <w:b/>
                <w:snapToGrid w:val="0"/>
                <w:color w:val="000000"/>
                <w:sz w:val="22"/>
              </w:rPr>
              <w:t>现场踏勘</w:t>
            </w:r>
          </w:p>
        </w:tc>
        <w:tc>
          <w:tcPr>
            <w:tcW w:w="2121" w:type="dxa"/>
            <w:vAlign w:val="center"/>
          </w:tcPr>
          <w:p w14:paraId="04C87283">
            <w:pPr>
              <w:adjustRightInd w:val="0"/>
              <w:snapToGrid w:val="0"/>
              <w:spacing w:line="300" w:lineRule="auto"/>
              <w:jc w:val="center"/>
              <w:rPr>
                <w:rFonts w:hint="eastAsia" w:ascii="宋体" w:hAnsi="宋体" w:eastAsia="宋体" w:cs="宋体"/>
                <w:kern w:val="0"/>
                <w:sz w:val="22"/>
                <w:szCs w:val="22"/>
                <w:highlight w:val="none"/>
                <w:lang w:val="en-US" w:eastAsia="zh-CN"/>
              </w:rPr>
            </w:pPr>
            <w:r>
              <w:rPr>
                <w:rFonts w:hint="eastAsia" w:ascii="宋体" w:hAnsi="宋体" w:eastAsia="宋体" w:cs="宋体"/>
                <w:kern w:val="0"/>
                <w:sz w:val="22"/>
                <w:szCs w:val="22"/>
                <w:highlight w:val="none"/>
                <w:lang w:val="en-US" w:eastAsia="zh-CN"/>
              </w:rPr>
              <w:t>必须现场踏勘</w:t>
            </w:r>
          </w:p>
        </w:tc>
        <w:tc>
          <w:tcPr>
            <w:tcW w:w="1896" w:type="dxa"/>
            <w:gridSpan w:val="3"/>
            <w:vAlign w:val="center"/>
          </w:tcPr>
          <w:p w14:paraId="3B6A714B">
            <w:pPr>
              <w:adjustRightInd w:val="0"/>
              <w:snapToGrid w:val="0"/>
              <w:spacing w:line="300" w:lineRule="auto"/>
              <w:jc w:val="center"/>
              <w:rPr>
                <w:rFonts w:hint="eastAsia" w:ascii="宋体" w:hAnsi="宋体" w:eastAsia="宋体" w:cs="宋体"/>
                <w:b/>
                <w:snapToGrid w:val="0"/>
                <w:color w:val="000000"/>
                <w:sz w:val="22"/>
                <w:szCs w:val="22"/>
                <w:highlight w:val="none"/>
              </w:rPr>
            </w:pPr>
            <w:r>
              <w:rPr>
                <w:rFonts w:hint="eastAsia" w:ascii="宋体" w:hAnsi="宋体" w:eastAsia="宋体" w:cs="宋体"/>
                <w:b/>
                <w:snapToGrid w:val="0"/>
                <w:color w:val="000000"/>
                <w:sz w:val="22"/>
                <w:szCs w:val="22"/>
                <w:highlight w:val="none"/>
              </w:rPr>
              <w:t>投标有效期</w:t>
            </w:r>
          </w:p>
        </w:tc>
        <w:tc>
          <w:tcPr>
            <w:tcW w:w="3174" w:type="dxa"/>
            <w:vAlign w:val="center"/>
          </w:tcPr>
          <w:p w14:paraId="557D697C">
            <w:pPr>
              <w:adjustRightInd w:val="0"/>
              <w:snapToGrid w:val="0"/>
              <w:spacing w:line="300" w:lineRule="auto"/>
              <w:jc w:val="center"/>
              <w:rPr>
                <w:rFonts w:hint="eastAsia" w:ascii="宋体" w:hAnsi="宋体" w:eastAsia="宋体" w:cs="宋体"/>
                <w:snapToGrid w:val="0"/>
                <w:color w:val="000000"/>
                <w:sz w:val="22"/>
                <w:szCs w:val="22"/>
                <w:highlight w:val="none"/>
              </w:rPr>
            </w:pPr>
            <w:r>
              <w:rPr>
                <w:rFonts w:hint="eastAsia" w:ascii="宋体" w:hAnsi="宋体" w:eastAsia="宋体" w:cs="宋体"/>
                <w:kern w:val="0"/>
                <w:sz w:val="22"/>
                <w:szCs w:val="22"/>
                <w:highlight w:val="none"/>
              </w:rPr>
              <w:t>90天（合同生效之日起）</w:t>
            </w:r>
          </w:p>
        </w:tc>
      </w:tr>
      <w:tr w14:paraId="746856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12" w:hRule="atLeast"/>
          <w:jc w:val="center"/>
        </w:trPr>
        <w:tc>
          <w:tcPr>
            <w:tcW w:w="2117" w:type="dxa"/>
            <w:vAlign w:val="center"/>
          </w:tcPr>
          <w:p w14:paraId="2EC0C05B">
            <w:pPr>
              <w:adjustRightInd w:val="0"/>
              <w:snapToGrid w:val="0"/>
              <w:spacing w:line="300" w:lineRule="auto"/>
              <w:ind w:left="1325" w:hanging="1325" w:hangingChars="600"/>
              <w:jc w:val="center"/>
              <w:rPr>
                <w:rFonts w:asciiTheme="minorEastAsia" w:hAnsiTheme="minorEastAsia" w:eastAsiaTheme="minorEastAsia"/>
                <w:b/>
                <w:snapToGrid w:val="0"/>
                <w:color w:val="000000"/>
                <w:sz w:val="22"/>
              </w:rPr>
            </w:pPr>
            <w:r>
              <w:rPr>
                <w:rFonts w:hint="eastAsia" w:asciiTheme="minorEastAsia" w:hAnsiTheme="minorEastAsia" w:eastAsiaTheme="minorEastAsia"/>
                <w:b/>
                <w:snapToGrid w:val="0"/>
                <w:color w:val="000000"/>
                <w:sz w:val="22"/>
              </w:rPr>
              <w:t>联系人-商务</w:t>
            </w:r>
          </w:p>
        </w:tc>
        <w:tc>
          <w:tcPr>
            <w:tcW w:w="7191" w:type="dxa"/>
            <w:gridSpan w:val="5"/>
            <w:vAlign w:val="center"/>
          </w:tcPr>
          <w:p w14:paraId="75757649">
            <w:pPr>
              <w:adjustRightInd w:val="0"/>
              <w:snapToGrid w:val="0"/>
              <w:spacing w:line="300" w:lineRule="auto"/>
              <w:jc w:val="center"/>
              <w:rPr>
                <w:rFonts w:hint="eastAsia" w:ascii="宋体" w:hAnsi="宋体" w:eastAsia="宋体" w:cs="宋体"/>
                <w:snapToGrid w:val="0"/>
                <w:color w:val="000000"/>
                <w:sz w:val="22"/>
                <w:szCs w:val="22"/>
                <w:highlight w:val="none"/>
              </w:rPr>
            </w:pPr>
            <w:r>
              <w:rPr>
                <w:rFonts w:hint="eastAsia" w:ascii="宋体" w:hAnsi="宋体" w:eastAsia="宋体" w:cs="宋体"/>
                <w:b/>
                <w:bCs/>
                <w:kern w:val="0"/>
                <w:sz w:val="22"/>
                <w:szCs w:val="22"/>
                <w:highlight w:val="none"/>
              </w:rPr>
              <w:t>采购-</w:t>
            </w:r>
            <w:r>
              <w:rPr>
                <w:rFonts w:hint="eastAsia" w:ascii="宋体" w:hAnsi="宋体" w:eastAsia="宋体" w:cs="宋体"/>
                <w:b/>
                <w:bCs/>
                <w:kern w:val="0"/>
                <w:sz w:val="22"/>
                <w:szCs w:val="22"/>
                <w:highlight w:val="none"/>
                <w:lang w:val="en-US" w:eastAsia="zh-CN"/>
              </w:rPr>
              <w:t>马健钟</w:t>
            </w:r>
            <w:r>
              <w:rPr>
                <w:rFonts w:hint="eastAsia" w:ascii="宋体" w:hAnsi="宋体" w:eastAsia="宋体" w:cs="宋体"/>
                <w:b/>
                <w:bCs/>
                <w:kern w:val="0"/>
                <w:sz w:val="22"/>
                <w:szCs w:val="22"/>
                <w:highlight w:val="none"/>
              </w:rPr>
              <w:t>（</w:t>
            </w:r>
            <w:r>
              <w:rPr>
                <w:rFonts w:hint="eastAsia" w:ascii="宋体" w:hAnsi="宋体" w:eastAsia="宋体" w:cs="宋体"/>
                <w:b/>
                <w:bCs/>
                <w:kern w:val="0"/>
                <w:sz w:val="22"/>
                <w:szCs w:val="22"/>
                <w:highlight w:val="none"/>
                <w:lang w:val="en-US" w:eastAsia="zh-CN"/>
              </w:rPr>
              <w:t>15717173578 majianzhong@huaxin.com</w:t>
            </w:r>
            <w:r>
              <w:rPr>
                <w:rFonts w:hint="eastAsia" w:ascii="宋体" w:hAnsi="宋体" w:eastAsia="宋体" w:cs="宋体"/>
                <w:b/>
                <w:bCs/>
                <w:kern w:val="0"/>
                <w:sz w:val="22"/>
                <w:szCs w:val="22"/>
                <w:highlight w:val="none"/>
              </w:rPr>
              <w:t>）</w:t>
            </w:r>
          </w:p>
        </w:tc>
      </w:tr>
      <w:tr w14:paraId="563700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17" w:type="dxa"/>
            <w:vAlign w:val="center"/>
          </w:tcPr>
          <w:p w14:paraId="408A3B2A">
            <w:pPr>
              <w:adjustRightInd w:val="0"/>
              <w:snapToGrid w:val="0"/>
              <w:spacing w:line="300" w:lineRule="auto"/>
              <w:ind w:left="1325" w:hanging="1325" w:hangingChars="600"/>
              <w:jc w:val="center"/>
              <w:rPr>
                <w:rFonts w:asciiTheme="minorEastAsia" w:hAnsiTheme="minorEastAsia" w:eastAsiaTheme="minorEastAsia"/>
                <w:b/>
                <w:snapToGrid w:val="0"/>
                <w:color w:val="000000"/>
                <w:sz w:val="22"/>
              </w:rPr>
            </w:pPr>
            <w:r>
              <w:rPr>
                <w:rFonts w:hint="eastAsia" w:asciiTheme="minorEastAsia" w:hAnsiTheme="minorEastAsia" w:eastAsiaTheme="minorEastAsia"/>
                <w:b/>
                <w:snapToGrid w:val="0"/>
                <w:color w:val="000000"/>
                <w:sz w:val="22"/>
              </w:rPr>
              <w:t>联系人-技术/现场</w:t>
            </w:r>
          </w:p>
        </w:tc>
        <w:tc>
          <w:tcPr>
            <w:tcW w:w="7191" w:type="dxa"/>
            <w:gridSpan w:val="5"/>
            <w:vAlign w:val="center"/>
          </w:tcPr>
          <w:p w14:paraId="2E46F5FE">
            <w:pPr>
              <w:adjustRightInd w:val="0"/>
              <w:snapToGrid w:val="0"/>
              <w:spacing w:line="300" w:lineRule="auto"/>
              <w:jc w:val="center"/>
              <w:rPr>
                <w:rFonts w:hint="eastAsia" w:ascii="宋体" w:hAnsi="宋体" w:eastAsia="宋体" w:cs="宋体"/>
                <w:snapToGrid w:val="0"/>
                <w:color w:val="000000"/>
                <w:sz w:val="22"/>
                <w:szCs w:val="22"/>
                <w:highlight w:val="none"/>
                <w:lang w:val="en-US" w:eastAsia="zh-CN"/>
              </w:rPr>
            </w:pPr>
            <w:r>
              <w:rPr>
                <w:rFonts w:hint="eastAsia" w:ascii="宋体" w:hAnsi="宋体" w:eastAsia="宋体" w:cs="宋体"/>
                <w:b/>
                <w:bCs/>
                <w:snapToGrid w:val="0"/>
                <w:color w:val="000000"/>
                <w:sz w:val="22"/>
                <w:szCs w:val="22"/>
                <w:highlight w:val="none"/>
                <w:lang w:val="en-US" w:eastAsia="zh-CN"/>
              </w:rPr>
              <w:t> 襄阳公司</w:t>
            </w:r>
            <w:r>
              <w:rPr>
                <w:rFonts w:hint="eastAsia" w:ascii="宋体" w:hAnsi="宋体" w:eastAsia="宋体" w:cs="宋体"/>
                <w:b/>
                <w:bCs/>
                <w:kern w:val="0"/>
                <w:sz w:val="22"/>
                <w:szCs w:val="22"/>
                <w:highlight w:val="none"/>
              </w:rPr>
              <w:t>矿山部（</w:t>
            </w:r>
            <w:r>
              <w:rPr>
                <w:rFonts w:hint="eastAsia" w:ascii="宋体" w:hAnsi="宋体" w:eastAsia="宋体" w:cs="宋体"/>
                <w:b/>
                <w:bCs/>
                <w:kern w:val="0"/>
                <w:sz w:val="22"/>
                <w:szCs w:val="22"/>
                <w:highlight w:val="none"/>
                <w:lang w:val="en-US" w:eastAsia="zh-CN"/>
              </w:rPr>
              <w:t>王凌：19871679301   </w:t>
            </w:r>
            <w:r>
              <w:rPr>
                <w:rFonts w:hint="eastAsia" w:ascii="宋体" w:hAnsi="宋体" w:eastAsia="宋体" w:cs="宋体"/>
                <w:b/>
                <w:bCs/>
                <w:kern w:val="0"/>
                <w:sz w:val="22"/>
                <w:szCs w:val="22"/>
                <w:highlight w:val="none"/>
              </w:rPr>
              <w:t> </w:t>
            </w:r>
            <w:r>
              <w:rPr>
                <w:rFonts w:hint="eastAsia" w:ascii="宋体" w:hAnsi="宋体" w:eastAsia="宋体" w:cs="宋体"/>
                <w:b/>
                <w:bCs/>
                <w:kern w:val="0"/>
                <w:sz w:val="22"/>
                <w:szCs w:val="22"/>
                <w:highlight w:val="none"/>
                <w:lang w:eastAsia="zh-CN"/>
              </w:rPr>
              <w:t> </w:t>
            </w:r>
            <w:r>
              <w:rPr>
                <w:rFonts w:hint="eastAsia" w:ascii="宋体" w:hAnsi="宋体" w:eastAsia="宋体" w:cs="宋体"/>
                <w:b/>
                <w:bCs/>
                <w:kern w:val="0"/>
                <w:sz w:val="22"/>
                <w:szCs w:val="22"/>
                <w:highlight w:val="none"/>
              </w:rPr>
              <w:t>）</w:t>
            </w:r>
          </w:p>
        </w:tc>
      </w:tr>
    </w:tbl>
    <w:p w14:paraId="7A1A1995">
      <w:pPr>
        <w:jc w:val="center"/>
        <w:rPr>
          <w:b/>
          <w:bCs/>
          <w:sz w:val="30"/>
          <w:szCs w:val="30"/>
        </w:rPr>
      </w:pPr>
    </w:p>
    <w:p w14:paraId="7847489E">
      <w:pPr>
        <w:jc w:val="center"/>
        <w:rPr>
          <w:b/>
          <w:bCs/>
          <w:sz w:val="30"/>
          <w:szCs w:val="30"/>
        </w:rPr>
      </w:pPr>
    </w:p>
    <w:p w14:paraId="0446E2E5">
      <w:pPr>
        <w:jc w:val="both"/>
        <w:rPr>
          <w:b/>
          <w:bCs/>
          <w:sz w:val="30"/>
          <w:szCs w:val="30"/>
        </w:rPr>
      </w:pPr>
    </w:p>
    <w:p w14:paraId="73A228A7">
      <w:pPr>
        <w:tabs>
          <w:tab w:val="left" w:pos="5400"/>
        </w:tabs>
        <w:jc w:val="center"/>
        <w:rPr>
          <w:rFonts w:hint="eastAsia"/>
          <w:sz w:val="30"/>
          <w:szCs w:val="30"/>
        </w:rPr>
      </w:pPr>
      <w:r>
        <w:rPr>
          <w:rFonts w:hint="eastAsia" w:ascii="微软雅黑" w:hAnsi="微软雅黑" w:eastAsia="微软雅黑" w:cs="微软雅黑"/>
          <w:b/>
          <w:sz w:val="22"/>
        </w:rPr>
        <w:t>时间：2026年</w:t>
      </w:r>
      <w:r>
        <w:rPr>
          <w:rFonts w:hint="eastAsia" w:ascii="微软雅黑" w:hAnsi="微软雅黑" w:eastAsia="微软雅黑" w:cs="微软雅黑"/>
          <w:b/>
          <w:sz w:val="22"/>
          <w:lang w:val="en-US" w:eastAsia="zh-CN"/>
        </w:rPr>
        <w:t>7</w:t>
      </w:r>
      <w:r>
        <w:rPr>
          <w:rFonts w:hint="eastAsia" w:ascii="微软雅黑" w:hAnsi="微软雅黑" w:eastAsia="微软雅黑" w:cs="微软雅黑"/>
          <w:b/>
          <w:sz w:val="22"/>
        </w:rPr>
        <w:t>月</w:t>
      </w:r>
      <w:r>
        <w:rPr>
          <w:rFonts w:hint="eastAsia"/>
          <w:sz w:val="30"/>
          <w:szCs w:val="30"/>
        </w:rPr>
        <w:t xml:space="preserve">      </w:t>
      </w:r>
    </w:p>
    <w:p w14:paraId="3192DF18">
      <w:pPr>
        <w:tabs>
          <w:tab w:val="left" w:pos="5400"/>
        </w:tabs>
        <w:jc w:val="center"/>
        <w:rPr>
          <w:b/>
          <w:bCs/>
          <w:sz w:val="28"/>
          <w:szCs w:val="30"/>
        </w:rPr>
      </w:pPr>
      <w:r>
        <w:rPr>
          <w:rFonts w:hint="eastAsia"/>
          <w:sz w:val="30"/>
          <w:szCs w:val="30"/>
        </w:rPr>
        <w:t xml:space="preserve">                          </w:t>
      </w:r>
    </w:p>
    <w:p w14:paraId="3EC6A389">
      <w:pPr>
        <w:snapToGrid w:val="0"/>
        <w:spacing w:line="360" w:lineRule="auto"/>
        <w:jc w:val="both"/>
        <w:rPr>
          <w:b/>
          <w:bCs/>
          <w:sz w:val="28"/>
          <w:szCs w:val="30"/>
        </w:rPr>
      </w:pPr>
      <w:bookmarkStart w:id="0" w:name="_Toc383770580"/>
      <w:bookmarkStart w:id="1" w:name="_Toc383770608"/>
      <w:bookmarkStart w:id="2" w:name="_Toc456800449"/>
    </w:p>
    <w:p w14:paraId="02C628CD">
      <w:pPr>
        <w:snapToGrid w:val="0"/>
        <w:spacing w:line="360" w:lineRule="auto"/>
        <w:rPr>
          <w:rFonts w:ascii="Arial" w:hAnsi="Arial" w:eastAsia="楷体" w:cs="Arial"/>
          <w:b/>
          <w:kern w:val="0"/>
          <w:sz w:val="36"/>
          <w:szCs w:val="40"/>
        </w:rPr>
      </w:pPr>
      <w:r>
        <w:rPr>
          <w:rFonts w:hint="eastAsia" w:ascii="Arial" w:hAnsi="Arial" w:eastAsia="楷体" w:cs="Arial"/>
          <w:b/>
          <w:kern w:val="0"/>
          <w:sz w:val="36"/>
          <w:szCs w:val="40"/>
        </w:rPr>
        <w:t>文件</w:t>
      </w:r>
      <w:r>
        <w:rPr>
          <w:rFonts w:ascii="Arial" w:hAnsi="Arial" w:eastAsia="楷体" w:cs="Arial"/>
          <w:b/>
          <w:kern w:val="0"/>
          <w:sz w:val="36"/>
          <w:szCs w:val="40"/>
        </w:rPr>
        <w:t>目录</w:t>
      </w:r>
      <w:r>
        <w:rPr>
          <w:rFonts w:hint="eastAsia" w:ascii="Arial" w:hAnsi="Arial" w:eastAsia="楷体" w:cs="Arial"/>
          <w:b/>
          <w:kern w:val="0"/>
          <w:sz w:val="36"/>
          <w:szCs w:val="40"/>
        </w:rPr>
        <w:t>—————————————————</w:t>
      </w:r>
    </w:p>
    <w:p w14:paraId="313C0583">
      <w:pPr>
        <w:snapToGrid w:val="0"/>
        <w:rPr>
          <w:rFonts w:cs="Arial" w:asciiTheme="minorEastAsia" w:hAnsiTheme="minorEastAsia" w:eastAsiaTheme="minorEastAsia"/>
          <w:i/>
          <w:kern w:val="0"/>
          <w:sz w:val="16"/>
          <w:szCs w:val="32"/>
        </w:rPr>
      </w:pPr>
      <w:r>
        <w:rPr>
          <w:rFonts w:hint="eastAsia" w:cs="Arial" w:asciiTheme="minorEastAsia" w:hAnsiTheme="minorEastAsia" w:eastAsiaTheme="minorEastAsia"/>
          <w:b/>
          <w:kern w:val="0"/>
          <w:sz w:val="22"/>
          <w:szCs w:val="32"/>
        </w:rPr>
        <w:t>P2:</w:t>
      </w:r>
      <w:r>
        <w:rPr>
          <w:rFonts w:cs="Arial" w:asciiTheme="minorEastAsia" w:hAnsiTheme="minorEastAsia" w:eastAsiaTheme="minorEastAsia"/>
          <w:b/>
          <w:kern w:val="0"/>
          <w:sz w:val="22"/>
          <w:szCs w:val="32"/>
        </w:rPr>
        <w:t xml:space="preserve">  第一部分 </w:t>
      </w:r>
      <w:r>
        <w:rPr>
          <w:rFonts w:hint="eastAsia" w:cs="Arial" w:asciiTheme="minorEastAsia" w:hAnsiTheme="minorEastAsia" w:eastAsiaTheme="minorEastAsia"/>
          <w:b/>
          <w:kern w:val="0"/>
          <w:sz w:val="22"/>
          <w:szCs w:val="32"/>
        </w:rPr>
        <w:t xml:space="preserve"> </w:t>
      </w:r>
      <w:r>
        <w:rPr>
          <w:rFonts w:cs="Arial" w:asciiTheme="minorEastAsia" w:hAnsiTheme="minorEastAsia" w:eastAsiaTheme="minorEastAsia"/>
          <w:b/>
          <w:kern w:val="0"/>
          <w:sz w:val="22"/>
          <w:szCs w:val="32"/>
        </w:rPr>
        <w:t xml:space="preserve"> 招</w:t>
      </w:r>
      <w:r>
        <w:rPr>
          <w:rFonts w:hint="eastAsia" w:cs="Arial" w:asciiTheme="minorEastAsia" w:hAnsiTheme="minorEastAsia" w:eastAsiaTheme="minorEastAsia"/>
          <w:b/>
          <w:kern w:val="0"/>
          <w:sz w:val="22"/>
          <w:szCs w:val="32"/>
        </w:rPr>
        <w:t>选</w:t>
      </w:r>
      <w:r>
        <w:rPr>
          <w:rFonts w:hint="eastAsia" w:cs="Arial" w:asciiTheme="minorEastAsia" w:hAnsiTheme="minorEastAsia" w:eastAsiaTheme="minorEastAsia"/>
          <w:b/>
          <w:kern w:val="0"/>
          <w:sz w:val="22"/>
          <w:szCs w:val="32"/>
          <w:lang w:val="en-US" w:eastAsia="zh-CN"/>
        </w:rPr>
        <w:t>项目</w:t>
      </w:r>
      <w:r>
        <w:rPr>
          <w:rFonts w:hint="eastAsia" w:cs="Arial" w:asciiTheme="minorEastAsia" w:hAnsiTheme="minorEastAsia" w:eastAsiaTheme="minorEastAsia"/>
          <w:b/>
          <w:kern w:val="0"/>
          <w:sz w:val="22"/>
          <w:szCs w:val="32"/>
        </w:rPr>
        <w:t>信息</w:t>
      </w:r>
    </w:p>
    <w:p w14:paraId="0DAF3AC2">
      <w:pPr>
        <w:snapToGrid w:val="0"/>
        <w:rPr>
          <w:rFonts w:cs="Arial" w:asciiTheme="minorEastAsia" w:hAnsiTheme="minorEastAsia" w:eastAsiaTheme="minorEastAsia"/>
          <w:i/>
          <w:kern w:val="0"/>
          <w:sz w:val="16"/>
          <w:szCs w:val="32"/>
        </w:rPr>
      </w:pPr>
    </w:p>
    <w:p w14:paraId="3F052C1B">
      <w:pPr>
        <w:snapToGrid w:val="0"/>
        <w:rPr>
          <w:rFonts w:cs="Arial" w:asciiTheme="minorEastAsia" w:hAnsiTheme="minorEastAsia" w:eastAsiaTheme="minorEastAsia"/>
          <w:i/>
          <w:kern w:val="0"/>
          <w:sz w:val="20"/>
          <w:szCs w:val="32"/>
        </w:rPr>
      </w:pPr>
      <w:r>
        <w:rPr>
          <w:rFonts w:hint="eastAsia" w:cs="Arial" w:asciiTheme="minorEastAsia" w:hAnsiTheme="minorEastAsia" w:eastAsiaTheme="minorEastAsia"/>
          <w:i/>
          <w:kern w:val="0"/>
          <w:sz w:val="20"/>
          <w:szCs w:val="32"/>
        </w:rPr>
        <w:t>以下为通用部分</w:t>
      </w:r>
    </w:p>
    <w:p w14:paraId="04D9E6AE">
      <w:pPr>
        <w:snapToGrid w:val="0"/>
        <w:rPr>
          <w:rFonts w:cs="Arial" w:asciiTheme="minorEastAsia" w:hAnsiTheme="minorEastAsia" w:eastAsiaTheme="minorEastAsia"/>
          <w:b/>
          <w:kern w:val="0"/>
          <w:sz w:val="22"/>
          <w:szCs w:val="32"/>
        </w:rPr>
      </w:pPr>
      <w:r>
        <w:rPr>
          <w:rFonts w:hint="eastAsia" w:cs="Arial" w:asciiTheme="minorEastAsia" w:hAnsiTheme="minorEastAsia" w:eastAsiaTheme="minorEastAsia"/>
          <w:b/>
          <w:kern w:val="0"/>
          <w:sz w:val="22"/>
          <w:szCs w:val="32"/>
        </w:rPr>
        <w:t>P4:</w:t>
      </w:r>
      <w:r>
        <w:rPr>
          <w:rFonts w:cs="Arial" w:asciiTheme="minorEastAsia" w:hAnsiTheme="minorEastAsia" w:eastAsiaTheme="minorEastAsia"/>
          <w:b/>
          <w:kern w:val="0"/>
          <w:sz w:val="22"/>
          <w:szCs w:val="32"/>
        </w:rPr>
        <w:t xml:space="preserve">  第二部分 </w:t>
      </w:r>
      <w:r>
        <w:rPr>
          <w:rFonts w:hint="eastAsia" w:cs="Arial" w:asciiTheme="minorEastAsia" w:hAnsiTheme="minorEastAsia" w:eastAsiaTheme="minorEastAsia"/>
          <w:b/>
          <w:kern w:val="0"/>
          <w:sz w:val="22"/>
          <w:szCs w:val="32"/>
        </w:rPr>
        <w:t xml:space="preserve"> </w:t>
      </w:r>
      <w:r>
        <w:rPr>
          <w:rFonts w:cs="Arial" w:asciiTheme="minorEastAsia" w:hAnsiTheme="minorEastAsia" w:eastAsiaTheme="minorEastAsia"/>
          <w:b/>
          <w:kern w:val="0"/>
          <w:sz w:val="22"/>
          <w:szCs w:val="32"/>
        </w:rPr>
        <w:t xml:space="preserve"> </w:t>
      </w:r>
      <w:r>
        <w:rPr>
          <w:rFonts w:hint="eastAsia" w:cs="Arial" w:asciiTheme="minorEastAsia" w:hAnsiTheme="minorEastAsia" w:eastAsiaTheme="minorEastAsia"/>
          <w:b/>
          <w:kern w:val="0"/>
          <w:sz w:val="22"/>
          <w:szCs w:val="32"/>
        </w:rPr>
        <w:t>应选</w:t>
      </w:r>
      <w:r>
        <w:rPr>
          <w:rFonts w:cs="Arial" w:asciiTheme="minorEastAsia" w:hAnsiTheme="minorEastAsia" w:eastAsiaTheme="minorEastAsia"/>
          <w:b/>
          <w:kern w:val="0"/>
          <w:sz w:val="22"/>
          <w:szCs w:val="32"/>
        </w:rPr>
        <w:t>守则</w:t>
      </w:r>
    </w:p>
    <w:p w14:paraId="250CDBCE">
      <w:pPr>
        <w:snapToGrid w:val="0"/>
        <w:rPr>
          <w:rFonts w:cs="Arial" w:asciiTheme="minorEastAsia" w:hAnsiTheme="minorEastAsia" w:eastAsiaTheme="minorEastAsia"/>
          <w:i/>
          <w:kern w:val="0"/>
          <w:sz w:val="16"/>
          <w:szCs w:val="32"/>
        </w:rPr>
      </w:pPr>
      <w:r>
        <w:rPr>
          <w:rFonts w:hint="eastAsia" w:cs="Arial" w:asciiTheme="minorEastAsia" w:hAnsiTheme="minorEastAsia" w:eastAsiaTheme="minorEastAsia"/>
          <w:b/>
          <w:kern w:val="0"/>
          <w:sz w:val="22"/>
          <w:szCs w:val="32"/>
        </w:rPr>
        <w:t>P4:</w:t>
      </w:r>
      <w:r>
        <w:rPr>
          <w:rFonts w:cs="Arial" w:asciiTheme="minorEastAsia" w:hAnsiTheme="minorEastAsia" w:eastAsiaTheme="minorEastAsia"/>
          <w:b/>
          <w:kern w:val="0"/>
          <w:sz w:val="22"/>
          <w:szCs w:val="32"/>
        </w:rPr>
        <w:t xml:space="preserve">  第三部分 </w:t>
      </w:r>
      <w:r>
        <w:rPr>
          <w:rFonts w:hint="eastAsia" w:cs="Arial" w:asciiTheme="minorEastAsia" w:hAnsiTheme="minorEastAsia" w:eastAsiaTheme="minorEastAsia"/>
          <w:b/>
          <w:kern w:val="0"/>
          <w:sz w:val="22"/>
          <w:szCs w:val="32"/>
        </w:rPr>
        <w:t xml:space="preserve"> 应选人</w:t>
      </w:r>
      <w:r>
        <w:rPr>
          <w:rFonts w:cs="Arial" w:asciiTheme="minorEastAsia" w:hAnsiTheme="minorEastAsia" w:eastAsiaTheme="minorEastAsia"/>
          <w:b/>
          <w:kern w:val="0"/>
          <w:sz w:val="22"/>
          <w:szCs w:val="32"/>
        </w:rPr>
        <w:t>须知</w:t>
      </w:r>
    </w:p>
    <w:p w14:paraId="17477044">
      <w:pPr>
        <w:snapToGrid w:val="0"/>
        <w:rPr>
          <w:rFonts w:cs="Arial" w:asciiTheme="minorEastAsia" w:hAnsiTheme="minorEastAsia" w:eastAsiaTheme="minorEastAsia"/>
          <w:i/>
          <w:kern w:val="0"/>
          <w:sz w:val="16"/>
          <w:szCs w:val="32"/>
        </w:rPr>
      </w:pPr>
      <w:r>
        <w:rPr>
          <w:rFonts w:hint="eastAsia" w:cs="Arial" w:asciiTheme="minorEastAsia" w:hAnsiTheme="minorEastAsia" w:eastAsiaTheme="minorEastAsia"/>
          <w:b/>
          <w:kern w:val="0"/>
          <w:sz w:val="22"/>
          <w:szCs w:val="32"/>
        </w:rPr>
        <w:t>P5:</w:t>
      </w:r>
      <w:r>
        <w:rPr>
          <w:rFonts w:cs="Arial" w:asciiTheme="minorEastAsia" w:hAnsiTheme="minorEastAsia" w:eastAsiaTheme="minorEastAsia"/>
          <w:b/>
          <w:kern w:val="0"/>
          <w:sz w:val="22"/>
          <w:szCs w:val="32"/>
        </w:rPr>
        <w:t xml:space="preserve">  </w:t>
      </w:r>
      <w:r>
        <w:rPr>
          <w:rFonts w:hint="eastAsia" w:cs="Arial" w:asciiTheme="minorEastAsia" w:hAnsiTheme="minorEastAsia" w:eastAsiaTheme="minorEastAsia"/>
          <w:b/>
          <w:kern w:val="0"/>
          <w:sz w:val="22"/>
          <w:szCs w:val="32"/>
        </w:rPr>
        <w:t>第四部分   安全环保要求</w:t>
      </w:r>
    </w:p>
    <w:p w14:paraId="525DAFB6">
      <w:pPr>
        <w:snapToGrid w:val="0"/>
        <w:rPr>
          <w:rFonts w:cs="Arial" w:asciiTheme="minorEastAsia" w:hAnsiTheme="minorEastAsia" w:eastAsiaTheme="minorEastAsia"/>
          <w:i/>
          <w:kern w:val="0"/>
          <w:sz w:val="16"/>
          <w:szCs w:val="32"/>
        </w:rPr>
      </w:pPr>
      <w:r>
        <w:rPr>
          <w:rFonts w:hint="eastAsia" w:cs="Arial" w:asciiTheme="minorEastAsia" w:hAnsiTheme="minorEastAsia" w:eastAsiaTheme="minorEastAsia"/>
          <w:b/>
          <w:kern w:val="0"/>
          <w:sz w:val="22"/>
          <w:szCs w:val="32"/>
        </w:rPr>
        <w:t>P6:</w:t>
      </w:r>
      <w:r>
        <w:rPr>
          <w:rFonts w:cs="Arial" w:asciiTheme="minorEastAsia" w:hAnsiTheme="minorEastAsia" w:eastAsiaTheme="minorEastAsia"/>
          <w:b/>
          <w:kern w:val="0"/>
          <w:sz w:val="22"/>
          <w:szCs w:val="32"/>
        </w:rPr>
        <w:t xml:space="preserve">  第</w:t>
      </w:r>
      <w:r>
        <w:rPr>
          <w:rFonts w:hint="eastAsia" w:cs="Arial" w:asciiTheme="minorEastAsia" w:hAnsiTheme="minorEastAsia" w:eastAsiaTheme="minorEastAsia"/>
          <w:b/>
          <w:kern w:val="0"/>
          <w:sz w:val="22"/>
          <w:szCs w:val="32"/>
        </w:rPr>
        <w:t>五</w:t>
      </w:r>
      <w:r>
        <w:rPr>
          <w:rFonts w:cs="Arial" w:asciiTheme="minorEastAsia" w:hAnsiTheme="minorEastAsia" w:eastAsiaTheme="minorEastAsia"/>
          <w:b/>
          <w:kern w:val="0"/>
          <w:sz w:val="22"/>
          <w:szCs w:val="32"/>
        </w:rPr>
        <w:t xml:space="preserve">部分 </w:t>
      </w:r>
      <w:r>
        <w:rPr>
          <w:rFonts w:hint="eastAsia" w:cs="Arial" w:asciiTheme="minorEastAsia" w:hAnsiTheme="minorEastAsia" w:eastAsiaTheme="minorEastAsia"/>
          <w:b/>
          <w:kern w:val="0"/>
          <w:sz w:val="22"/>
          <w:szCs w:val="32"/>
        </w:rPr>
        <w:t xml:space="preserve"> </w:t>
      </w:r>
      <w:r>
        <w:rPr>
          <w:rFonts w:cs="Arial" w:asciiTheme="minorEastAsia" w:hAnsiTheme="minorEastAsia" w:eastAsiaTheme="minorEastAsia"/>
          <w:b/>
          <w:kern w:val="0"/>
          <w:sz w:val="22"/>
          <w:szCs w:val="32"/>
        </w:rPr>
        <w:t xml:space="preserve"> </w:t>
      </w:r>
      <w:r>
        <w:rPr>
          <w:rFonts w:hint="eastAsia" w:cs="Arial" w:asciiTheme="minorEastAsia" w:hAnsiTheme="minorEastAsia" w:eastAsiaTheme="minorEastAsia"/>
          <w:b/>
          <w:kern w:val="0"/>
          <w:sz w:val="22"/>
          <w:szCs w:val="32"/>
        </w:rPr>
        <w:t>应选及报价流程</w:t>
      </w:r>
    </w:p>
    <w:p w14:paraId="3C64D4B2">
      <w:pPr>
        <w:snapToGrid w:val="0"/>
        <w:rPr>
          <w:rFonts w:cs="Arial" w:asciiTheme="minorEastAsia" w:hAnsiTheme="minorEastAsia" w:eastAsiaTheme="minorEastAsia"/>
          <w:b/>
          <w:kern w:val="0"/>
          <w:sz w:val="22"/>
          <w:szCs w:val="32"/>
        </w:rPr>
      </w:pPr>
    </w:p>
    <w:p w14:paraId="3FC0CCD4">
      <w:pPr>
        <w:snapToGrid w:val="0"/>
        <w:rPr>
          <w:rFonts w:cs="Arial" w:asciiTheme="minorEastAsia" w:hAnsiTheme="minorEastAsia" w:eastAsiaTheme="minorEastAsia"/>
          <w:b/>
          <w:kern w:val="0"/>
          <w:sz w:val="22"/>
          <w:szCs w:val="32"/>
        </w:rPr>
      </w:pPr>
    </w:p>
    <w:p w14:paraId="6D84EE0A">
      <w:pPr>
        <w:snapToGrid w:val="0"/>
        <w:rPr>
          <w:rFonts w:cs="Arial" w:asciiTheme="minorEastAsia" w:hAnsiTheme="minorEastAsia" w:eastAsiaTheme="minorEastAsia"/>
          <w:b/>
          <w:kern w:val="0"/>
          <w:sz w:val="22"/>
          <w:szCs w:val="32"/>
        </w:rPr>
      </w:pPr>
    </w:p>
    <w:p w14:paraId="06005F91">
      <w:pPr>
        <w:snapToGrid w:val="0"/>
        <w:spacing w:line="360" w:lineRule="auto"/>
        <w:jc w:val="center"/>
        <w:rPr>
          <w:rFonts w:ascii="Arial" w:hAnsi="Arial" w:eastAsia="楷体" w:cs="Arial"/>
          <w:b/>
          <w:kern w:val="0"/>
          <w:sz w:val="32"/>
          <w:szCs w:val="36"/>
        </w:rPr>
      </w:pPr>
    </w:p>
    <w:p w14:paraId="73519795">
      <w:pPr>
        <w:snapToGrid w:val="0"/>
        <w:spacing w:line="360" w:lineRule="auto"/>
        <w:jc w:val="center"/>
        <w:rPr>
          <w:rFonts w:ascii="Arial" w:hAnsi="Arial" w:eastAsia="楷体" w:cs="Arial"/>
          <w:b/>
          <w:kern w:val="0"/>
          <w:sz w:val="32"/>
          <w:szCs w:val="36"/>
        </w:rPr>
      </w:pPr>
    </w:p>
    <w:p w14:paraId="707293AE">
      <w:pPr>
        <w:snapToGrid w:val="0"/>
        <w:spacing w:line="360" w:lineRule="auto"/>
        <w:jc w:val="center"/>
        <w:rPr>
          <w:rFonts w:ascii="Arial" w:hAnsi="Arial" w:eastAsia="楷体" w:cs="Arial"/>
          <w:b/>
          <w:kern w:val="0"/>
          <w:sz w:val="32"/>
          <w:szCs w:val="36"/>
        </w:rPr>
      </w:pPr>
    </w:p>
    <w:p w14:paraId="3B9DA6B6">
      <w:pPr>
        <w:snapToGrid w:val="0"/>
        <w:spacing w:line="360" w:lineRule="auto"/>
        <w:jc w:val="center"/>
        <w:rPr>
          <w:rFonts w:ascii="Arial" w:hAnsi="Arial" w:eastAsia="楷体" w:cs="Arial"/>
          <w:b/>
          <w:kern w:val="0"/>
          <w:sz w:val="32"/>
          <w:szCs w:val="36"/>
        </w:rPr>
      </w:pPr>
    </w:p>
    <w:p w14:paraId="4292C2FC">
      <w:pPr>
        <w:snapToGrid w:val="0"/>
        <w:spacing w:line="360" w:lineRule="auto"/>
        <w:jc w:val="center"/>
        <w:rPr>
          <w:rFonts w:ascii="Arial" w:hAnsi="Arial" w:eastAsia="楷体" w:cs="Arial"/>
          <w:b/>
          <w:kern w:val="0"/>
          <w:sz w:val="32"/>
          <w:szCs w:val="36"/>
        </w:rPr>
      </w:pPr>
    </w:p>
    <w:p w14:paraId="15A172B7">
      <w:pPr>
        <w:snapToGrid w:val="0"/>
        <w:spacing w:line="360" w:lineRule="auto"/>
        <w:jc w:val="center"/>
        <w:rPr>
          <w:rFonts w:ascii="Arial" w:hAnsi="Arial" w:eastAsia="楷体" w:cs="Arial"/>
          <w:b/>
          <w:kern w:val="0"/>
          <w:sz w:val="32"/>
          <w:szCs w:val="36"/>
        </w:rPr>
      </w:pPr>
    </w:p>
    <w:p w14:paraId="1F115D3B">
      <w:pPr>
        <w:snapToGrid w:val="0"/>
        <w:spacing w:line="360" w:lineRule="auto"/>
        <w:jc w:val="center"/>
        <w:rPr>
          <w:rFonts w:ascii="Arial" w:hAnsi="Arial" w:eastAsia="楷体" w:cs="Arial"/>
          <w:b/>
          <w:kern w:val="0"/>
          <w:sz w:val="32"/>
          <w:szCs w:val="36"/>
        </w:rPr>
      </w:pPr>
    </w:p>
    <w:p w14:paraId="51224A95">
      <w:pPr>
        <w:snapToGrid w:val="0"/>
        <w:spacing w:line="360" w:lineRule="auto"/>
        <w:jc w:val="center"/>
        <w:rPr>
          <w:rFonts w:ascii="Arial" w:hAnsi="Arial" w:eastAsia="楷体" w:cs="Arial"/>
          <w:b/>
          <w:kern w:val="0"/>
          <w:sz w:val="32"/>
          <w:szCs w:val="36"/>
        </w:rPr>
      </w:pPr>
    </w:p>
    <w:p w14:paraId="38674A9D">
      <w:pPr>
        <w:snapToGrid w:val="0"/>
        <w:spacing w:line="360" w:lineRule="auto"/>
        <w:jc w:val="center"/>
        <w:rPr>
          <w:rFonts w:ascii="Arial" w:hAnsi="Arial" w:eastAsia="楷体" w:cs="Arial"/>
          <w:b/>
          <w:kern w:val="0"/>
          <w:sz w:val="32"/>
          <w:szCs w:val="36"/>
        </w:rPr>
      </w:pPr>
    </w:p>
    <w:p w14:paraId="51A8F50C">
      <w:pPr>
        <w:snapToGrid w:val="0"/>
        <w:spacing w:line="360" w:lineRule="auto"/>
        <w:jc w:val="center"/>
        <w:rPr>
          <w:rFonts w:ascii="Arial" w:hAnsi="Arial" w:eastAsia="楷体" w:cs="Arial"/>
          <w:b/>
          <w:kern w:val="0"/>
          <w:sz w:val="32"/>
          <w:szCs w:val="36"/>
        </w:rPr>
      </w:pPr>
    </w:p>
    <w:p w14:paraId="5E476297">
      <w:pPr>
        <w:snapToGrid w:val="0"/>
        <w:spacing w:line="360" w:lineRule="auto"/>
        <w:jc w:val="center"/>
        <w:rPr>
          <w:rFonts w:ascii="Arial" w:hAnsi="Arial" w:eastAsia="楷体" w:cs="Arial"/>
          <w:b/>
          <w:kern w:val="0"/>
          <w:sz w:val="32"/>
          <w:szCs w:val="36"/>
        </w:rPr>
      </w:pPr>
    </w:p>
    <w:p w14:paraId="08321E8D">
      <w:pPr>
        <w:snapToGrid w:val="0"/>
        <w:spacing w:line="360" w:lineRule="auto"/>
        <w:jc w:val="center"/>
        <w:rPr>
          <w:rFonts w:ascii="Arial" w:hAnsi="Arial" w:eastAsia="楷体" w:cs="Arial"/>
          <w:b/>
          <w:kern w:val="0"/>
          <w:sz w:val="32"/>
          <w:szCs w:val="36"/>
        </w:rPr>
      </w:pPr>
    </w:p>
    <w:p w14:paraId="1A8103EB">
      <w:pPr>
        <w:snapToGrid w:val="0"/>
        <w:spacing w:line="360" w:lineRule="auto"/>
        <w:jc w:val="center"/>
        <w:rPr>
          <w:rFonts w:ascii="Arial" w:hAnsi="Arial" w:eastAsia="楷体" w:cs="Arial"/>
          <w:b/>
          <w:kern w:val="0"/>
          <w:sz w:val="32"/>
          <w:szCs w:val="36"/>
        </w:rPr>
      </w:pPr>
    </w:p>
    <w:p w14:paraId="4243B70A">
      <w:pPr>
        <w:snapToGrid w:val="0"/>
        <w:spacing w:line="360" w:lineRule="auto"/>
        <w:jc w:val="center"/>
        <w:rPr>
          <w:rFonts w:ascii="Arial" w:hAnsi="Arial" w:eastAsia="楷体" w:cs="Arial"/>
          <w:b/>
          <w:kern w:val="0"/>
          <w:sz w:val="32"/>
          <w:szCs w:val="36"/>
        </w:rPr>
      </w:pPr>
    </w:p>
    <w:p w14:paraId="02CDFDE3">
      <w:pPr>
        <w:snapToGrid w:val="0"/>
        <w:spacing w:line="360" w:lineRule="auto"/>
        <w:jc w:val="center"/>
        <w:rPr>
          <w:rFonts w:ascii="Arial" w:hAnsi="Arial" w:eastAsia="楷体" w:cs="Arial"/>
          <w:b/>
          <w:kern w:val="0"/>
          <w:sz w:val="32"/>
          <w:szCs w:val="36"/>
        </w:rPr>
      </w:pPr>
    </w:p>
    <w:p w14:paraId="7E80E7DB">
      <w:pPr>
        <w:snapToGrid w:val="0"/>
        <w:spacing w:line="360" w:lineRule="auto"/>
        <w:jc w:val="center"/>
        <w:rPr>
          <w:rFonts w:ascii="Arial" w:hAnsi="Arial" w:eastAsia="楷体" w:cs="Arial"/>
          <w:b/>
          <w:kern w:val="0"/>
          <w:sz w:val="32"/>
          <w:szCs w:val="36"/>
        </w:rPr>
      </w:pPr>
    </w:p>
    <w:p w14:paraId="345C5D14">
      <w:pPr>
        <w:snapToGrid w:val="0"/>
        <w:spacing w:line="360" w:lineRule="auto"/>
        <w:jc w:val="center"/>
        <w:rPr>
          <w:rFonts w:ascii="Arial" w:hAnsi="Arial" w:eastAsia="楷体" w:cs="Arial"/>
          <w:b/>
          <w:kern w:val="0"/>
          <w:sz w:val="32"/>
          <w:szCs w:val="36"/>
        </w:rPr>
      </w:pPr>
    </w:p>
    <w:p w14:paraId="43BC4218">
      <w:pPr>
        <w:snapToGrid w:val="0"/>
        <w:spacing w:line="360" w:lineRule="auto"/>
        <w:jc w:val="both"/>
        <w:rPr>
          <w:rFonts w:ascii="Arial" w:hAnsi="Arial" w:eastAsia="楷体" w:cs="Arial"/>
          <w:b/>
          <w:kern w:val="0"/>
          <w:sz w:val="32"/>
          <w:szCs w:val="36"/>
        </w:rPr>
      </w:pPr>
    </w:p>
    <w:p w14:paraId="32C71965">
      <w:pPr>
        <w:snapToGrid w:val="0"/>
        <w:spacing w:line="360" w:lineRule="auto"/>
        <w:jc w:val="center"/>
        <w:rPr>
          <w:rFonts w:ascii="Arial" w:hAnsi="Arial" w:eastAsia="楷体" w:cs="Arial"/>
          <w:b/>
          <w:kern w:val="0"/>
          <w:sz w:val="32"/>
          <w:szCs w:val="36"/>
        </w:rPr>
      </w:pPr>
      <w:r>
        <w:rPr>
          <w:rFonts w:ascii="Arial" w:hAnsi="Arial" w:eastAsia="楷体" w:cs="Arial"/>
          <w:b/>
          <w:kern w:val="0"/>
          <w:sz w:val="32"/>
          <w:szCs w:val="36"/>
        </w:rPr>
        <w:t>第</w:t>
      </w:r>
      <w:r>
        <w:rPr>
          <w:rFonts w:hint="eastAsia" w:ascii="Arial" w:hAnsi="Arial" w:eastAsia="楷体" w:cs="Arial"/>
          <w:b/>
          <w:kern w:val="0"/>
          <w:sz w:val="32"/>
          <w:szCs w:val="36"/>
        </w:rPr>
        <w:t>一</w:t>
      </w:r>
      <w:r>
        <w:rPr>
          <w:rFonts w:ascii="Arial" w:hAnsi="Arial" w:eastAsia="楷体" w:cs="Arial"/>
          <w:b/>
          <w:kern w:val="0"/>
          <w:sz w:val="32"/>
          <w:szCs w:val="36"/>
        </w:rPr>
        <w:t>部分  招</w:t>
      </w:r>
      <w:r>
        <w:rPr>
          <w:rFonts w:hint="eastAsia" w:ascii="Arial" w:hAnsi="Arial" w:eastAsia="楷体" w:cs="Arial"/>
          <w:b/>
          <w:kern w:val="0"/>
          <w:sz w:val="32"/>
          <w:szCs w:val="36"/>
        </w:rPr>
        <w:t>选信息</w:t>
      </w:r>
    </w:p>
    <w:p w14:paraId="04DC8244">
      <w:pPr>
        <w:numPr>
          <w:ilvl w:val="0"/>
          <w:numId w:val="0"/>
        </w:numPr>
        <w:snapToGrid w:val="0"/>
        <w:spacing w:line="360" w:lineRule="auto"/>
        <w:ind w:leftChars="0"/>
        <w:rPr>
          <w:rFonts w:hint="eastAsia" w:ascii="仿宋" w:hAnsi="仿宋" w:eastAsia="仿宋" w:cs="仿宋"/>
          <w:kern w:val="0"/>
          <w:sz w:val="22"/>
          <w:szCs w:val="22"/>
        </w:rPr>
      </w:pPr>
      <w:r>
        <w:rPr>
          <w:rFonts w:hint="eastAsia" w:ascii="仿宋" w:hAnsi="仿宋" w:eastAsia="仿宋" w:cs="仿宋"/>
          <w:b/>
          <w:kern w:val="0"/>
          <w:sz w:val="22"/>
          <w:szCs w:val="22"/>
          <w:lang w:val="en-US" w:eastAsia="zh-CN"/>
        </w:rPr>
        <w:t>一、招选</w:t>
      </w:r>
      <w:r>
        <w:rPr>
          <w:rFonts w:hint="eastAsia" w:ascii="仿宋" w:hAnsi="仿宋" w:eastAsia="仿宋" w:cs="仿宋"/>
          <w:b/>
          <w:kern w:val="0"/>
          <w:sz w:val="22"/>
          <w:szCs w:val="22"/>
        </w:rPr>
        <w:t>项目信息：</w:t>
      </w:r>
    </w:p>
    <w:p w14:paraId="4F583ED1">
      <w:pPr>
        <w:pStyle w:val="53"/>
        <w:numPr>
          <w:ilvl w:val="0"/>
          <w:numId w:val="0"/>
        </w:numPr>
        <w:snapToGrid w:val="0"/>
        <w:spacing w:line="360" w:lineRule="auto"/>
        <w:ind w:firstLine="442" w:firstLineChars="200"/>
        <w:rPr>
          <w:rFonts w:hint="eastAsia" w:ascii="宋体" w:hAnsi="宋体" w:eastAsia="宋体" w:cs="宋体"/>
          <w:sz w:val="22"/>
          <w:szCs w:val="22"/>
        </w:rPr>
      </w:pPr>
      <w:r>
        <w:rPr>
          <w:rFonts w:hint="eastAsia" w:ascii="仿宋" w:hAnsi="仿宋" w:eastAsia="仿宋" w:cs="仿宋"/>
          <w:b/>
          <w:kern w:val="0"/>
          <w:sz w:val="22"/>
          <w:szCs w:val="22"/>
          <w:lang w:val="en-US" w:eastAsia="zh-CN"/>
        </w:rPr>
        <w:t>1、</w:t>
      </w:r>
      <w:r>
        <w:rPr>
          <w:rFonts w:hint="eastAsia" w:ascii="仿宋" w:hAnsi="仿宋" w:eastAsia="仿宋" w:cs="仿宋"/>
          <w:b/>
          <w:kern w:val="0"/>
          <w:sz w:val="22"/>
          <w:szCs w:val="22"/>
        </w:rPr>
        <w:t>施工</w:t>
      </w:r>
      <w:r>
        <w:rPr>
          <w:rFonts w:hint="eastAsia" w:ascii="仿宋" w:hAnsi="仿宋" w:eastAsia="仿宋" w:cs="仿宋"/>
          <w:b/>
          <w:kern w:val="0"/>
          <w:sz w:val="22"/>
          <w:szCs w:val="22"/>
          <w:highlight w:val="none"/>
        </w:rPr>
        <w:t>地点：</w:t>
      </w:r>
      <w:r>
        <w:rPr>
          <w:rFonts w:hint="eastAsia" w:ascii="宋体" w:hAnsi="宋体" w:eastAsia="宋体" w:cs="宋体"/>
          <w:b/>
          <w:bCs/>
          <w:snapToGrid w:val="0"/>
          <w:color w:val="000000"/>
          <w:sz w:val="22"/>
          <w:szCs w:val="22"/>
          <w:lang w:val="en-US"/>
        </w:rPr>
        <w:t>华新水泥(襄阳)有限公司</w:t>
      </w:r>
      <w:r>
        <w:rPr>
          <w:rFonts w:hint="eastAsia" w:ascii="宋体" w:hAnsi="宋体" w:eastAsia="宋体" w:cs="宋体"/>
          <w:b/>
          <w:bCs/>
          <w:snapToGrid w:val="0"/>
          <w:color w:val="000000"/>
          <w:sz w:val="22"/>
          <w:szCs w:val="22"/>
          <w:lang w:val="en-US" w:eastAsia="zh-CN"/>
        </w:rPr>
        <w:t>黄家娅矿山</w:t>
      </w:r>
    </w:p>
    <w:p w14:paraId="6B9D85FC">
      <w:pP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工程内容：</w:t>
      </w:r>
    </w:p>
    <w:tbl>
      <w:tblPr>
        <w:tblStyle w:val="17"/>
        <w:tblW w:w="92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1699"/>
        <w:gridCol w:w="5083"/>
        <w:gridCol w:w="952"/>
      </w:tblGrid>
      <w:tr w14:paraId="58B17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0" w:type="dxa"/>
          </w:tcPr>
          <w:p w14:paraId="0D23B859">
            <w:pPr>
              <w:widowControl w:val="0"/>
              <w:jc w:val="center"/>
              <w:rPr>
                <w:rFonts w:hint="eastAsia" w:ascii="宋体" w:hAnsi="宋体" w:eastAsia="宋体" w:cs="宋体"/>
                <w:sz w:val="22"/>
                <w:szCs w:val="22"/>
                <w:vertAlign w:val="baseline"/>
                <w:lang w:val="en-US" w:eastAsia="zh-CN"/>
              </w:rPr>
            </w:pPr>
            <w:r>
              <w:rPr>
                <w:rFonts w:hint="eastAsia" w:ascii="宋体" w:hAnsi="宋体" w:eastAsia="宋体" w:cs="宋体"/>
                <w:sz w:val="22"/>
                <w:szCs w:val="22"/>
                <w:vertAlign w:val="baseline"/>
                <w:lang w:val="en-US" w:eastAsia="zh-CN"/>
              </w:rPr>
              <w:t>工程项目</w:t>
            </w:r>
          </w:p>
        </w:tc>
        <w:tc>
          <w:tcPr>
            <w:tcW w:w="1699" w:type="dxa"/>
          </w:tcPr>
          <w:p w14:paraId="014250E2">
            <w:pPr>
              <w:widowControl w:val="0"/>
              <w:jc w:val="center"/>
              <w:rPr>
                <w:rFonts w:hint="eastAsia" w:ascii="宋体" w:hAnsi="宋体" w:eastAsia="宋体" w:cs="宋体"/>
                <w:sz w:val="22"/>
                <w:szCs w:val="22"/>
                <w:vertAlign w:val="baseline"/>
              </w:rPr>
            </w:pPr>
            <w:r>
              <w:rPr>
                <w:rFonts w:hint="eastAsia" w:ascii="宋体" w:hAnsi="宋体" w:eastAsia="宋体" w:cs="宋体"/>
                <w:sz w:val="22"/>
                <w:szCs w:val="22"/>
                <w:lang w:val="en-US" w:eastAsia="zh-CN"/>
              </w:rPr>
              <w:t>项目</w:t>
            </w:r>
            <w:r>
              <w:rPr>
                <w:rFonts w:hint="eastAsia" w:ascii="宋体" w:hAnsi="宋体" w:eastAsia="宋体" w:cs="宋体"/>
                <w:sz w:val="22"/>
                <w:szCs w:val="22"/>
              </w:rPr>
              <w:t>名称</w:t>
            </w:r>
          </w:p>
        </w:tc>
        <w:tc>
          <w:tcPr>
            <w:tcW w:w="5083" w:type="dxa"/>
          </w:tcPr>
          <w:p w14:paraId="420A4088">
            <w:pPr>
              <w:widowControl w:val="0"/>
              <w:jc w:val="center"/>
              <w:rPr>
                <w:rFonts w:hint="eastAsia" w:ascii="宋体" w:hAnsi="宋体" w:eastAsia="宋体" w:cs="宋体"/>
                <w:sz w:val="22"/>
                <w:szCs w:val="22"/>
              </w:rPr>
            </w:pPr>
            <w:r>
              <w:rPr>
                <w:rFonts w:hint="eastAsia" w:ascii="宋体" w:hAnsi="宋体" w:eastAsia="宋体" w:cs="宋体"/>
                <w:sz w:val="22"/>
                <w:szCs w:val="22"/>
              </w:rPr>
              <w:t>项目特征</w:t>
            </w:r>
          </w:p>
        </w:tc>
        <w:tc>
          <w:tcPr>
            <w:tcW w:w="952" w:type="dxa"/>
          </w:tcPr>
          <w:p w14:paraId="19F6B9EA">
            <w:pPr>
              <w:widowControl w:val="0"/>
              <w:jc w:val="center"/>
              <w:rPr>
                <w:rFonts w:hint="eastAsia" w:ascii="宋体" w:hAnsi="宋体" w:eastAsia="宋体" w:cs="宋体"/>
                <w:sz w:val="22"/>
                <w:szCs w:val="22"/>
                <w:vertAlign w:val="baseline"/>
              </w:rPr>
            </w:pPr>
            <w:r>
              <w:rPr>
                <w:rFonts w:hint="eastAsia" w:ascii="宋体" w:hAnsi="宋体" w:eastAsia="宋体" w:cs="宋体"/>
                <w:sz w:val="22"/>
                <w:szCs w:val="22"/>
              </w:rPr>
              <w:t>备注</w:t>
            </w:r>
          </w:p>
        </w:tc>
      </w:tr>
      <w:tr w14:paraId="4CDAE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510" w:type="dxa"/>
          </w:tcPr>
          <w:p w14:paraId="43F5C4A4">
            <w:pPr>
              <w:widowControl w:val="0"/>
              <w:jc w:val="both"/>
              <w:rPr>
                <w:rFonts w:hint="eastAsia" w:ascii="宋体" w:hAnsi="宋体" w:eastAsia="宋体" w:cs="宋体"/>
                <w:sz w:val="22"/>
                <w:szCs w:val="22"/>
                <w:lang w:val="en-US" w:eastAsia="zh-CN"/>
              </w:rPr>
            </w:pPr>
          </w:p>
          <w:p w14:paraId="02A4642A">
            <w:pPr>
              <w:widowControl w:val="0"/>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截排水沟</w:t>
            </w:r>
          </w:p>
        </w:tc>
        <w:tc>
          <w:tcPr>
            <w:tcW w:w="1699" w:type="dxa"/>
          </w:tcPr>
          <w:p w14:paraId="25CE1274">
            <w:pPr>
              <w:widowControl w:val="0"/>
              <w:jc w:val="both"/>
              <w:rPr>
                <w:rFonts w:hint="eastAsia" w:ascii="宋体" w:hAnsi="宋体" w:eastAsia="宋体" w:cs="宋体"/>
                <w:sz w:val="22"/>
                <w:szCs w:val="22"/>
              </w:rPr>
            </w:pPr>
          </w:p>
          <w:p w14:paraId="07EBB30A">
            <w:pPr>
              <w:widowControl w:val="0"/>
              <w:jc w:val="both"/>
              <w:rPr>
                <w:rFonts w:hint="eastAsia" w:ascii="宋体" w:hAnsi="宋体" w:eastAsia="宋体" w:cs="宋体"/>
                <w:sz w:val="22"/>
                <w:szCs w:val="22"/>
              </w:rPr>
            </w:pPr>
            <w:r>
              <w:rPr>
                <w:rFonts w:hint="eastAsia" w:ascii="宋体" w:hAnsi="宋体" w:eastAsia="宋体" w:cs="宋体"/>
                <w:sz w:val="22"/>
                <w:szCs w:val="22"/>
              </w:rPr>
              <w:t>现浇混凝土截</w:t>
            </w:r>
            <w:r>
              <w:rPr>
                <w:rFonts w:hint="eastAsia" w:ascii="宋体" w:hAnsi="宋体" w:eastAsia="宋体" w:cs="宋体"/>
                <w:sz w:val="22"/>
                <w:szCs w:val="22"/>
                <w:lang w:val="en-US" w:eastAsia="zh-CN"/>
              </w:rPr>
              <w:t>排</w:t>
            </w:r>
            <w:r>
              <w:rPr>
                <w:rFonts w:hint="eastAsia" w:ascii="宋体" w:hAnsi="宋体" w:eastAsia="宋体" w:cs="宋体"/>
                <w:sz w:val="22"/>
                <w:szCs w:val="22"/>
              </w:rPr>
              <w:t>水沟</w:t>
            </w:r>
          </w:p>
        </w:tc>
        <w:tc>
          <w:tcPr>
            <w:tcW w:w="5083" w:type="dxa"/>
          </w:tcPr>
          <w:p w14:paraId="34F6672E">
            <w:pPr>
              <w:widowControl w:val="0"/>
              <w:jc w:val="left"/>
              <w:rPr>
                <w:rFonts w:hint="eastAsia" w:ascii="宋体" w:hAnsi="宋体" w:eastAsia="宋体" w:cs="宋体"/>
                <w:sz w:val="22"/>
                <w:szCs w:val="22"/>
                <w:lang w:val="en-US" w:eastAsia="zh-CN"/>
              </w:rPr>
            </w:pPr>
            <w:r>
              <w:rPr>
                <w:rFonts w:hint="eastAsia" w:ascii="宋体" w:hAnsi="宋体" w:eastAsia="宋体" w:cs="宋体"/>
                <w:sz w:val="22"/>
                <w:szCs w:val="22"/>
              </w:rPr>
              <w:t>1. 位置：内侧单边</w:t>
            </w:r>
            <w:r>
              <w:rPr>
                <w:rFonts w:hint="eastAsia" w:ascii="宋体" w:hAnsi="宋体" w:eastAsia="宋体" w:cs="宋体"/>
                <w:sz w:val="22"/>
                <w:szCs w:val="22"/>
              </w:rPr>
              <w:br w:type="textWrapping"/>
            </w:r>
            <w:r>
              <w:rPr>
                <w:rFonts w:hint="eastAsia" w:ascii="宋体" w:hAnsi="宋体" w:eastAsia="宋体" w:cs="宋体"/>
                <w:sz w:val="22"/>
                <w:szCs w:val="22"/>
              </w:rPr>
              <w:t>2. 断面尺寸：净宽0.5m，净高0.</w:t>
            </w:r>
            <w:r>
              <w:rPr>
                <w:rFonts w:hint="eastAsia" w:ascii="宋体" w:hAnsi="宋体" w:eastAsia="宋体" w:cs="宋体"/>
                <w:sz w:val="22"/>
                <w:szCs w:val="22"/>
                <w:lang w:val="en-US" w:eastAsia="zh-CN"/>
              </w:rPr>
              <w:t>4</w:t>
            </w:r>
            <w:r>
              <w:rPr>
                <w:rFonts w:hint="eastAsia" w:ascii="宋体" w:hAnsi="宋体" w:eastAsia="宋体" w:cs="宋体"/>
                <w:sz w:val="22"/>
                <w:szCs w:val="22"/>
              </w:rPr>
              <w:t>m</w:t>
            </w:r>
            <w:r>
              <w:rPr>
                <w:rFonts w:hint="eastAsia" w:ascii="宋体" w:hAnsi="宋体" w:eastAsia="宋体" w:cs="宋体"/>
                <w:sz w:val="22"/>
                <w:szCs w:val="22"/>
              </w:rPr>
              <w:br w:type="textWrapping"/>
            </w:r>
            <w:r>
              <w:rPr>
                <w:rFonts w:hint="eastAsia" w:ascii="宋体" w:hAnsi="宋体" w:eastAsia="宋体" w:cs="宋体"/>
                <w:sz w:val="22"/>
                <w:szCs w:val="22"/>
              </w:rPr>
              <w:t>3. 混凝土强度等级：C30</w:t>
            </w:r>
            <w:r>
              <w:rPr>
                <w:rFonts w:hint="eastAsia" w:ascii="宋体" w:hAnsi="宋体" w:eastAsia="宋体" w:cs="宋体"/>
                <w:sz w:val="22"/>
                <w:szCs w:val="22"/>
              </w:rPr>
              <w:br w:type="textWrapping"/>
            </w:r>
            <w:r>
              <w:rPr>
                <w:rFonts w:hint="eastAsia" w:ascii="宋体" w:hAnsi="宋体" w:eastAsia="宋体" w:cs="宋体"/>
                <w:sz w:val="22"/>
                <w:szCs w:val="22"/>
              </w:rPr>
              <w:t>4. 厚度：</w:t>
            </w:r>
            <w:r>
              <w:rPr>
                <w:rFonts w:hint="eastAsia" w:ascii="宋体" w:hAnsi="宋体" w:eastAsia="宋体" w:cs="宋体"/>
                <w:sz w:val="22"/>
                <w:szCs w:val="22"/>
                <w:lang w:val="en-US" w:eastAsia="zh-CN"/>
              </w:rPr>
              <w:t>10</w:t>
            </w:r>
            <w:r>
              <w:rPr>
                <w:rFonts w:hint="eastAsia" w:ascii="宋体" w:hAnsi="宋体" w:eastAsia="宋体" w:cs="宋体"/>
                <w:sz w:val="22"/>
                <w:szCs w:val="22"/>
              </w:rPr>
              <w:t>cm</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长度：900m</w:t>
            </w:r>
          </w:p>
        </w:tc>
        <w:tc>
          <w:tcPr>
            <w:tcW w:w="952" w:type="dxa"/>
          </w:tcPr>
          <w:p w14:paraId="31994572">
            <w:pPr>
              <w:widowControl w:val="0"/>
              <w:jc w:val="center"/>
              <w:rPr>
                <w:rFonts w:hint="eastAsia" w:ascii="宋体" w:hAnsi="宋体" w:eastAsia="宋体" w:cs="宋体"/>
                <w:sz w:val="22"/>
                <w:szCs w:val="22"/>
                <w:vertAlign w:val="baseline"/>
              </w:rPr>
            </w:pPr>
          </w:p>
        </w:tc>
      </w:tr>
      <w:tr w14:paraId="3BB8D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1510" w:type="dxa"/>
          </w:tcPr>
          <w:p w14:paraId="151C17D5">
            <w:pPr>
              <w:widowControl w:val="0"/>
              <w:jc w:val="both"/>
              <w:rPr>
                <w:rFonts w:hint="eastAsia" w:ascii="宋体" w:hAnsi="宋体" w:eastAsia="宋体" w:cs="宋体"/>
                <w:sz w:val="22"/>
                <w:szCs w:val="22"/>
                <w:lang w:val="en-US" w:eastAsia="zh-CN"/>
              </w:rPr>
            </w:pPr>
          </w:p>
          <w:p w14:paraId="5EE19E29">
            <w:pPr>
              <w:widowControl w:val="0"/>
              <w:jc w:val="both"/>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路面硬化</w:t>
            </w:r>
          </w:p>
        </w:tc>
        <w:tc>
          <w:tcPr>
            <w:tcW w:w="1699" w:type="dxa"/>
          </w:tcPr>
          <w:p w14:paraId="27941033">
            <w:pPr>
              <w:widowControl w:val="0"/>
              <w:jc w:val="both"/>
              <w:rPr>
                <w:rFonts w:hint="eastAsia" w:ascii="宋体" w:hAnsi="宋体" w:eastAsia="宋体" w:cs="宋体"/>
                <w:sz w:val="22"/>
                <w:szCs w:val="22"/>
              </w:rPr>
            </w:pPr>
          </w:p>
          <w:p w14:paraId="40A7FC79">
            <w:pPr>
              <w:widowControl w:val="0"/>
              <w:jc w:val="both"/>
              <w:rPr>
                <w:rFonts w:hint="eastAsia" w:ascii="宋体" w:hAnsi="宋体" w:eastAsia="宋体" w:cs="宋体"/>
                <w:sz w:val="22"/>
                <w:szCs w:val="22"/>
                <w:lang w:val="en-US" w:eastAsia="zh-CN"/>
              </w:rPr>
            </w:pPr>
            <w:r>
              <w:rPr>
                <w:rFonts w:hint="eastAsia" w:ascii="宋体" w:hAnsi="宋体" w:eastAsia="宋体" w:cs="宋体"/>
                <w:sz w:val="22"/>
                <w:szCs w:val="22"/>
              </w:rPr>
              <w:t>现浇混凝土</w:t>
            </w:r>
            <w:r>
              <w:rPr>
                <w:rFonts w:hint="eastAsia" w:ascii="宋体" w:hAnsi="宋体" w:eastAsia="宋体" w:cs="宋体"/>
                <w:sz w:val="22"/>
                <w:szCs w:val="22"/>
                <w:lang w:val="en-US" w:eastAsia="zh-CN"/>
              </w:rPr>
              <w:t>路面</w:t>
            </w:r>
          </w:p>
        </w:tc>
        <w:tc>
          <w:tcPr>
            <w:tcW w:w="5083" w:type="dxa"/>
          </w:tcPr>
          <w:p w14:paraId="01B5D9EA">
            <w:pPr>
              <w:widowControl w:val="0"/>
              <w:numPr>
                <w:ilvl w:val="0"/>
                <w:numId w:val="3"/>
              </w:numPr>
              <w:jc w:val="left"/>
              <w:rPr>
                <w:rFonts w:hint="eastAsia" w:ascii="宋体" w:hAnsi="宋体" w:eastAsia="宋体" w:cs="宋体"/>
                <w:sz w:val="22"/>
                <w:szCs w:val="22"/>
              </w:rPr>
            </w:pPr>
            <w:r>
              <w:rPr>
                <w:rFonts w:hint="eastAsia" w:ascii="宋体" w:hAnsi="宋体" w:eastAsia="宋体" w:cs="宋体"/>
                <w:sz w:val="22"/>
                <w:szCs w:val="22"/>
              </w:rPr>
              <w:t>强度等级：C30</w:t>
            </w:r>
            <w:r>
              <w:rPr>
                <w:rFonts w:hint="eastAsia" w:ascii="宋体" w:hAnsi="宋体" w:eastAsia="宋体" w:cs="宋体"/>
                <w:sz w:val="22"/>
                <w:szCs w:val="22"/>
              </w:rPr>
              <w:br w:type="textWrapping"/>
            </w:r>
            <w:r>
              <w:rPr>
                <w:rFonts w:hint="eastAsia" w:ascii="宋体" w:hAnsi="宋体" w:eastAsia="宋体" w:cs="宋体"/>
                <w:sz w:val="22"/>
                <w:szCs w:val="22"/>
              </w:rPr>
              <w:t>2. 厚度：20cm板</w:t>
            </w:r>
          </w:p>
          <w:p w14:paraId="435FD756">
            <w:pPr>
              <w:widowControl w:val="0"/>
              <w:numPr>
                <w:ilvl w:val="0"/>
                <w:numId w:val="0"/>
              </w:numPr>
              <w:jc w:val="left"/>
              <w:rPr>
                <w:rFonts w:hint="eastAsia" w:ascii="宋体" w:hAnsi="宋体" w:eastAsia="宋体" w:cs="宋体"/>
                <w:sz w:val="22"/>
                <w:szCs w:val="22"/>
              </w:rPr>
            </w:pPr>
            <w:r>
              <w:rPr>
                <w:rFonts w:hint="eastAsia" w:ascii="宋体" w:hAnsi="宋体" w:eastAsia="宋体" w:cs="宋体"/>
                <w:sz w:val="22"/>
                <w:szCs w:val="22"/>
                <w:lang w:val="en-US" w:eastAsia="zh-CN"/>
              </w:rPr>
              <w:t>3.长宽：</w:t>
            </w:r>
            <w:r>
              <w:rPr>
                <w:rFonts w:hint="eastAsia" w:ascii="宋体" w:hAnsi="宋体" w:eastAsia="宋体" w:cs="宋体"/>
                <w:sz w:val="22"/>
                <w:szCs w:val="22"/>
              </w:rPr>
              <w:t>700m × 4.5m</w:t>
            </w:r>
          </w:p>
        </w:tc>
        <w:tc>
          <w:tcPr>
            <w:tcW w:w="952" w:type="dxa"/>
          </w:tcPr>
          <w:p w14:paraId="7443F746">
            <w:pPr>
              <w:widowControl w:val="0"/>
              <w:jc w:val="center"/>
              <w:rPr>
                <w:rFonts w:hint="eastAsia" w:ascii="宋体" w:hAnsi="宋体" w:eastAsia="宋体" w:cs="宋体"/>
                <w:sz w:val="22"/>
                <w:szCs w:val="22"/>
                <w:vertAlign w:val="baseline"/>
              </w:rPr>
            </w:pPr>
          </w:p>
        </w:tc>
      </w:tr>
    </w:tbl>
    <w:p w14:paraId="1575B245">
      <w:pPr>
        <w:pStyle w:val="53"/>
        <w:numPr>
          <w:ilvl w:val="0"/>
          <w:numId w:val="0"/>
        </w:numPr>
        <w:snapToGrid w:val="0"/>
        <w:spacing w:line="360" w:lineRule="auto"/>
        <w:rPr>
          <w:rFonts w:ascii="宋体" w:hAnsi="宋体" w:eastAsia="宋体" w:cs="宋体"/>
          <w:sz w:val="24"/>
          <w:szCs w:val="24"/>
        </w:rPr>
      </w:pPr>
      <w:r>
        <w:rPr>
          <w:rFonts w:ascii="宋体" w:hAnsi="宋体" w:eastAsia="宋体" w:cs="宋体"/>
          <w:sz w:val="24"/>
          <w:szCs w:val="24"/>
        </w:rPr>
        <w:drawing>
          <wp:inline distT="0" distB="0" distL="114300" distR="114300">
            <wp:extent cx="4188460" cy="2696210"/>
            <wp:effectExtent l="0" t="0" r="2540" b="889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4188460" cy="2696210"/>
                    </a:xfrm>
                    <a:prstGeom prst="rect">
                      <a:avLst/>
                    </a:prstGeom>
                    <a:noFill/>
                    <a:ln w="9525">
                      <a:noFill/>
                    </a:ln>
                  </pic:spPr>
                </pic:pic>
              </a:graphicData>
            </a:graphic>
          </wp:inline>
        </w:drawing>
      </w:r>
    </w:p>
    <w:p w14:paraId="4CC9BFEA">
      <w:pPr>
        <w:pStyle w:val="53"/>
        <w:numPr>
          <w:ilvl w:val="0"/>
          <w:numId w:val="0"/>
        </w:numPr>
        <w:snapToGrid w:val="0"/>
        <w:spacing w:line="360" w:lineRule="auto"/>
        <w:rPr>
          <w:rFonts w:hint="eastAsia" w:ascii="宋体" w:hAnsi="宋体" w:eastAsia="宋体" w:cs="宋体"/>
          <w:sz w:val="24"/>
          <w:szCs w:val="24"/>
          <w:lang w:val="en-US"/>
        </w:rPr>
      </w:pPr>
      <w:r>
        <w:rPr>
          <w:rFonts w:hint="eastAsia" w:ascii="宋体" w:hAnsi="宋体" w:eastAsia="宋体" w:cs="宋体"/>
          <w:sz w:val="24"/>
          <w:szCs w:val="24"/>
          <w:lang w:val="en-US"/>
        </w:rPr>
        <w:t>施工位置图</w:t>
      </w:r>
    </w:p>
    <w:p w14:paraId="628B3385">
      <w:pPr>
        <w:pStyle w:val="53"/>
        <w:numPr>
          <w:ilvl w:val="0"/>
          <w:numId w:val="0"/>
        </w:numPr>
        <w:snapToGrid w:val="0"/>
        <w:spacing w:line="360" w:lineRule="auto"/>
        <w:rPr>
          <w:rFonts w:hint="eastAsia" w:ascii="宋体" w:hAnsi="宋体" w:eastAsia="宋体" w:cs="宋体"/>
          <w:sz w:val="24"/>
          <w:szCs w:val="24"/>
          <w:lang w:val="en-US"/>
        </w:rPr>
      </w:pPr>
      <w:r>
        <w:rPr>
          <w:rFonts w:ascii="宋体" w:hAnsi="宋体" w:eastAsia="宋体" w:cs="宋体"/>
          <w:sz w:val="24"/>
          <w:szCs w:val="24"/>
        </w:rPr>
        <w:drawing>
          <wp:inline distT="0" distB="0" distL="114300" distR="114300">
            <wp:extent cx="4241165" cy="2361565"/>
            <wp:effectExtent l="0" t="0" r="635" b="63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7"/>
                    <a:stretch>
                      <a:fillRect/>
                    </a:stretch>
                  </pic:blipFill>
                  <pic:spPr>
                    <a:xfrm>
                      <a:off x="0" y="0"/>
                      <a:ext cx="4241165" cy="2361565"/>
                    </a:xfrm>
                    <a:prstGeom prst="rect">
                      <a:avLst/>
                    </a:prstGeom>
                    <a:noFill/>
                    <a:ln w="9525">
                      <a:noFill/>
                    </a:ln>
                  </pic:spPr>
                </pic:pic>
              </a:graphicData>
            </a:graphic>
          </wp:inline>
        </w:drawing>
      </w:r>
    </w:p>
    <w:p w14:paraId="4D1D0C79">
      <w:pPr>
        <w:keepNext w:val="0"/>
        <w:keepLines w:val="0"/>
        <w:widowControl/>
        <w:suppressLineNumbers w:val="0"/>
        <w:ind w:firstLine="442" w:firstLineChars="200"/>
        <w:jc w:val="left"/>
        <w:rPr>
          <w:rFonts w:hint="eastAsia" w:ascii="仿宋" w:hAnsi="仿宋" w:eastAsia="仿宋" w:cs="仿宋"/>
          <w:i/>
          <w:color w:val="FF0000"/>
          <w:kern w:val="0"/>
          <w:sz w:val="22"/>
          <w:szCs w:val="22"/>
          <w:highlight w:val="none"/>
        </w:rPr>
      </w:pPr>
      <w:r>
        <w:rPr>
          <w:rFonts w:hint="eastAsia" w:ascii="仿宋" w:hAnsi="仿宋" w:eastAsia="仿宋" w:cs="仿宋"/>
          <w:b/>
          <w:color w:val="FF0000"/>
          <w:kern w:val="0"/>
          <w:sz w:val="22"/>
          <w:szCs w:val="22"/>
          <w:highlight w:val="none"/>
          <w:lang w:val="en-US" w:eastAsia="zh-CN"/>
        </w:rPr>
        <w:t>施工</w:t>
      </w:r>
      <w:r>
        <w:rPr>
          <w:rFonts w:hint="eastAsia" w:ascii="仿宋" w:hAnsi="仿宋" w:eastAsia="仿宋" w:cs="仿宋"/>
          <w:b/>
          <w:color w:val="FF0000"/>
          <w:kern w:val="0"/>
          <w:sz w:val="22"/>
          <w:szCs w:val="22"/>
          <w:highlight w:val="none"/>
        </w:rPr>
        <w:t>方案</w:t>
      </w:r>
      <w:r>
        <w:rPr>
          <w:rFonts w:hint="eastAsia" w:ascii="仿宋" w:hAnsi="仿宋" w:eastAsia="仿宋" w:cs="仿宋"/>
          <w:b/>
          <w:color w:val="FF0000"/>
          <w:kern w:val="0"/>
          <w:sz w:val="22"/>
          <w:szCs w:val="22"/>
          <w:highlight w:val="none"/>
          <w:lang w:eastAsia="zh-CN"/>
        </w:rPr>
        <w:t>、</w:t>
      </w:r>
      <w:r>
        <w:rPr>
          <w:rFonts w:hint="eastAsia" w:ascii="仿宋" w:hAnsi="仿宋" w:eastAsia="仿宋" w:cs="仿宋"/>
          <w:b/>
          <w:color w:val="FF0000"/>
          <w:kern w:val="0"/>
          <w:sz w:val="22"/>
          <w:szCs w:val="22"/>
          <w:highlight w:val="none"/>
          <w:lang w:val="en-US" w:eastAsia="zh-CN"/>
        </w:rPr>
        <w:t>工程量清单详见：附件1、附件2。</w:t>
      </w:r>
    </w:p>
    <w:p w14:paraId="24B6A3D5">
      <w:pPr>
        <w:pStyle w:val="53"/>
        <w:numPr>
          <w:ilvl w:val="0"/>
          <w:numId w:val="0"/>
        </w:numPr>
        <w:snapToGrid w:val="0"/>
        <w:spacing w:line="360" w:lineRule="auto"/>
        <w:rPr>
          <w:rFonts w:hint="eastAsia" w:ascii="仿宋" w:hAnsi="仿宋" w:eastAsia="仿宋" w:cs="仿宋"/>
          <w:i w:val="0"/>
          <w:iCs/>
          <w:kern w:val="0"/>
          <w:sz w:val="22"/>
          <w:szCs w:val="22"/>
        </w:rPr>
      </w:pPr>
      <w:r>
        <w:rPr>
          <w:rFonts w:hint="eastAsia" w:ascii="仿宋" w:hAnsi="仿宋" w:eastAsia="仿宋" w:cs="仿宋"/>
          <w:i/>
          <w:kern w:val="0"/>
          <w:sz w:val="22"/>
          <w:szCs w:val="22"/>
          <w:lang w:val="en-US" w:eastAsia="zh-CN"/>
        </w:rPr>
        <w:t xml:space="preserve">    </w:t>
      </w:r>
      <w:r>
        <w:rPr>
          <w:rFonts w:hint="eastAsia" w:ascii="仿宋" w:hAnsi="仿宋" w:eastAsia="仿宋" w:cs="仿宋"/>
          <w:b/>
          <w:bCs/>
          <w:i w:val="0"/>
          <w:iCs/>
          <w:color w:val="FF0000"/>
          <w:kern w:val="0"/>
          <w:sz w:val="22"/>
          <w:szCs w:val="22"/>
        </w:rPr>
        <w:t>注：招选单位</w:t>
      </w:r>
      <w:r>
        <w:rPr>
          <w:rFonts w:hint="eastAsia" w:ascii="仿宋" w:hAnsi="仿宋" w:eastAsia="仿宋" w:cs="仿宋"/>
          <w:b/>
          <w:bCs/>
          <w:i w:val="0"/>
          <w:iCs/>
          <w:color w:val="FF0000"/>
          <w:kern w:val="0"/>
          <w:sz w:val="22"/>
          <w:szCs w:val="22"/>
          <w:lang w:val="en-US" w:eastAsia="zh-CN"/>
        </w:rPr>
        <w:t>技术/现场负责人</w:t>
      </w:r>
      <w:r>
        <w:rPr>
          <w:rFonts w:hint="eastAsia" w:ascii="仿宋" w:hAnsi="仿宋" w:eastAsia="仿宋" w:cs="仿宋"/>
          <w:b/>
          <w:bCs/>
          <w:i w:val="0"/>
          <w:iCs/>
          <w:color w:val="FF0000"/>
          <w:kern w:val="0"/>
          <w:sz w:val="22"/>
          <w:szCs w:val="22"/>
        </w:rPr>
        <w:t>应向应选单位提供的有关现场的现有相关数据和资料</w:t>
      </w:r>
      <w:r>
        <w:rPr>
          <w:rFonts w:hint="eastAsia" w:ascii="仿宋" w:hAnsi="仿宋" w:eastAsia="仿宋" w:cs="仿宋"/>
          <w:b/>
          <w:bCs/>
          <w:i w:val="0"/>
          <w:iCs/>
          <w:color w:val="FF0000"/>
          <w:kern w:val="0"/>
          <w:sz w:val="22"/>
          <w:szCs w:val="22"/>
          <w:lang w:eastAsia="zh-CN"/>
        </w:rPr>
        <w:t>（</w:t>
      </w:r>
      <w:r>
        <w:rPr>
          <w:rFonts w:hint="eastAsia" w:ascii="仿宋" w:hAnsi="仿宋" w:eastAsia="仿宋" w:cs="仿宋"/>
          <w:b/>
          <w:bCs/>
          <w:i w:val="0"/>
          <w:iCs/>
          <w:color w:val="FF0000"/>
          <w:kern w:val="0"/>
          <w:sz w:val="22"/>
          <w:szCs w:val="22"/>
          <w:lang w:val="en-US" w:eastAsia="zh-CN"/>
        </w:rPr>
        <w:t>施工图纸、地勘报告、其他相关数据资料等</w:t>
      </w:r>
      <w:r>
        <w:rPr>
          <w:rFonts w:hint="eastAsia" w:ascii="仿宋" w:hAnsi="仿宋" w:eastAsia="仿宋" w:cs="仿宋"/>
          <w:b/>
          <w:bCs/>
          <w:i w:val="0"/>
          <w:iCs/>
          <w:color w:val="FF0000"/>
          <w:kern w:val="0"/>
          <w:sz w:val="22"/>
          <w:szCs w:val="22"/>
          <w:lang w:eastAsia="zh-CN"/>
        </w:rPr>
        <w:t>）</w:t>
      </w:r>
      <w:r>
        <w:rPr>
          <w:rFonts w:hint="eastAsia" w:ascii="仿宋" w:hAnsi="仿宋" w:eastAsia="仿宋" w:cs="仿宋"/>
          <w:b/>
          <w:bCs/>
          <w:i w:val="0"/>
          <w:iCs/>
          <w:color w:val="FF0000"/>
          <w:kern w:val="0"/>
          <w:sz w:val="22"/>
          <w:szCs w:val="22"/>
        </w:rPr>
        <w:t>，对应选单位据此做出的任何推论、理解和结论均不负责任。</w:t>
      </w:r>
      <w:r>
        <w:rPr>
          <w:rFonts w:hint="eastAsia" w:ascii="仿宋" w:hAnsi="仿宋" w:eastAsia="仿宋" w:cs="仿宋"/>
          <w:b w:val="0"/>
          <w:bCs w:val="0"/>
          <w:i w:val="0"/>
          <w:iCs/>
          <w:color w:val="auto"/>
          <w:kern w:val="0"/>
          <w:sz w:val="22"/>
          <w:szCs w:val="22"/>
          <w:lang w:val="en-US" w:eastAsia="zh-CN"/>
        </w:rPr>
        <w:t>工程量清单各分项报价</w:t>
      </w:r>
      <w:r>
        <w:rPr>
          <w:rFonts w:hint="eastAsia" w:ascii="仿宋" w:hAnsi="仿宋" w:eastAsia="仿宋" w:cs="仿宋"/>
          <w:b w:val="0"/>
          <w:bCs w:val="0"/>
          <w:i w:val="0"/>
          <w:iCs/>
          <w:color w:val="auto"/>
          <w:kern w:val="0"/>
          <w:sz w:val="22"/>
          <w:szCs w:val="22"/>
        </w:rPr>
        <w:t>包</w:t>
      </w:r>
      <w:r>
        <w:rPr>
          <w:rFonts w:hint="eastAsia" w:ascii="仿宋" w:hAnsi="仿宋" w:eastAsia="仿宋" w:cs="仿宋"/>
          <w:b w:val="0"/>
          <w:bCs w:val="0"/>
          <w:i w:val="0"/>
          <w:iCs/>
          <w:color w:val="auto"/>
          <w:kern w:val="0"/>
          <w:sz w:val="22"/>
          <w:szCs w:val="22"/>
        </w:rPr>
        <w:t>含但不仅限于：人工费、材料费、措施费、机械费、管理费、利润、规费、税费、转运费、临时设施费、成品保护、检验检测费、高处作业费、吊装费、环境监测费等一切费用。应选单位应全面考虑本工程可预见的相关费用，风险自行承担。</w:t>
      </w:r>
      <w:r>
        <w:rPr>
          <w:rFonts w:hint="eastAsia" w:ascii="仿宋" w:hAnsi="仿宋" w:eastAsia="仿宋" w:cs="仿宋"/>
          <w:i w:val="0"/>
          <w:iCs/>
          <w:kern w:val="0"/>
          <w:sz w:val="22"/>
          <w:szCs w:val="22"/>
          <w:lang w:eastAsia="zh-CN"/>
        </w:rPr>
        <w:t>即投标价格应包含投标企业从进场施工开始到将满足设计要求，并经过</w:t>
      </w:r>
      <w:r>
        <w:rPr>
          <w:rFonts w:hint="eastAsia" w:ascii="仿宋" w:hAnsi="仿宋" w:eastAsia="仿宋" w:cs="仿宋"/>
          <w:i w:val="0"/>
          <w:iCs/>
          <w:kern w:val="0"/>
          <w:sz w:val="22"/>
          <w:szCs w:val="22"/>
          <w:lang w:val="en-US" w:eastAsia="zh-CN"/>
        </w:rPr>
        <w:t>验收</w:t>
      </w:r>
      <w:r>
        <w:rPr>
          <w:rFonts w:hint="eastAsia" w:ascii="仿宋" w:hAnsi="仿宋" w:eastAsia="仿宋" w:cs="仿宋"/>
          <w:i w:val="0"/>
          <w:iCs/>
          <w:kern w:val="0"/>
          <w:sz w:val="22"/>
          <w:szCs w:val="22"/>
          <w:lang w:eastAsia="zh-CN"/>
        </w:rPr>
        <w:t>合格的</w:t>
      </w:r>
      <w:r>
        <w:rPr>
          <w:rFonts w:hint="eastAsia" w:ascii="仿宋" w:hAnsi="仿宋" w:eastAsia="仿宋" w:cs="仿宋"/>
          <w:i w:val="0"/>
          <w:iCs/>
          <w:kern w:val="0"/>
          <w:sz w:val="22"/>
          <w:szCs w:val="22"/>
          <w:lang w:val="en-US" w:eastAsia="zh-CN"/>
        </w:rPr>
        <w:t>验收</w:t>
      </w:r>
      <w:r>
        <w:rPr>
          <w:rFonts w:hint="eastAsia" w:ascii="仿宋" w:hAnsi="仿宋" w:eastAsia="仿宋" w:cs="仿宋"/>
          <w:i w:val="0"/>
          <w:iCs/>
          <w:kern w:val="0"/>
          <w:sz w:val="22"/>
          <w:szCs w:val="22"/>
          <w:lang w:eastAsia="zh-CN"/>
        </w:rPr>
        <w:t>报告交付我公司过程中的所有费用。</w:t>
      </w:r>
      <w:r>
        <w:rPr>
          <w:rFonts w:hint="eastAsia" w:ascii="仿宋" w:hAnsi="仿宋" w:eastAsia="仿宋" w:cs="仿宋"/>
          <w:i w:val="0"/>
          <w:iCs/>
          <w:kern w:val="0"/>
          <w:sz w:val="22"/>
          <w:szCs w:val="22"/>
        </w:rPr>
        <w:t>应选单位应全面考虑本工程可预见的相关费用，风险自行承担。</w:t>
      </w:r>
    </w:p>
    <w:p w14:paraId="4F2F40EC">
      <w:pPr>
        <w:pStyle w:val="53"/>
        <w:numPr>
          <w:ilvl w:val="0"/>
          <w:numId w:val="0"/>
        </w:numPr>
        <w:snapToGrid w:val="0"/>
        <w:spacing w:line="360" w:lineRule="auto"/>
        <w:ind w:firstLine="663" w:firstLineChars="300"/>
        <w:rPr>
          <w:rFonts w:hint="eastAsia" w:ascii="仿宋" w:hAnsi="仿宋" w:eastAsia="仿宋" w:cs="仿宋"/>
          <w:b/>
          <w:bCs/>
          <w:i w:val="0"/>
          <w:iCs/>
          <w:color w:val="FF0000"/>
          <w:kern w:val="0"/>
          <w:sz w:val="22"/>
          <w:szCs w:val="22"/>
        </w:rPr>
      </w:pPr>
      <w:bookmarkStart w:id="6" w:name="_GoBack"/>
      <w:r>
        <w:rPr>
          <w:rFonts w:hint="eastAsia" w:ascii="仿宋" w:hAnsi="仿宋" w:eastAsia="仿宋" w:cs="仿宋"/>
          <w:b/>
          <w:bCs/>
          <w:i w:val="0"/>
          <w:iCs/>
          <w:color w:val="FF0000"/>
          <w:kern w:val="0"/>
          <w:sz w:val="22"/>
          <w:szCs w:val="22"/>
        </w:rPr>
        <w:t>项目清单</w:t>
      </w:r>
      <w:r>
        <w:rPr>
          <w:rFonts w:hint="eastAsia" w:ascii="仿宋" w:hAnsi="仿宋" w:eastAsia="仿宋" w:cs="仿宋"/>
          <w:b/>
          <w:bCs/>
          <w:i w:val="0"/>
          <w:iCs/>
          <w:color w:val="FF0000"/>
          <w:kern w:val="0"/>
          <w:sz w:val="22"/>
          <w:szCs w:val="22"/>
          <w:lang w:eastAsia="zh-CN"/>
        </w:rPr>
        <w:t>（</w:t>
      </w:r>
      <w:r>
        <w:rPr>
          <w:rFonts w:hint="eastAsia" w:ascii="仿宋" w:hAnsi="仿宋" w:eastAsia="仿宋" w:cs="仿宋"/>
          <w:b/>
          <w:bCs/>
          <w:i w:val="0"/>
          <w:iCs/>
          <w:color w:val="FF0000"/>
          <w:kern w:val="0"/>
          <w:sz w:val="22"/>
          <w:szCs w:val="22"/>
          <w:lang w:val="en-US" w:eastAsia="zh-CN"/>
        </w:rPr>
        <w:t>附件2</w:t>
      </w:r>
      <w:r>
        <w:rPr>
          <w:rFonts w:hint="eastAsia" w:ascii="仿宋" w:hAnsi="仿宋" w:eastAsia="仿宋" w:cs="仿宋"/>
          <w:b/>
          <w:bCs/>
          <w:i w:val="0"/>
          <w:iCs/>
          <w:color w:val="FF0000"/>
          <w:kern w:val="0"/>
          <w:sz w:val="22"/>
          <w:szCs w:val="22"/>
          <w:lang w:eastAsia="zh-CN"/>
        </w:rPr>
        <w:t>）</w:t>
      </w:r>
      <w:r>
        <w:rPr>
          <w:rFonts w:hint="eastAsia" w:ascii="仿宋" w:hAnsi="仿宋" w:eastAsia="仿宋" w:cs="仿宋"/>
          <w:b/>
          <w:bCs/>
          <w:i w:val="0"/>
          <w:iCs/>
          <w:color w:val="FF0000"/>
          <w:kern w:val="0"/>
          <w:sz w:val="22"/>
          <w:szCs w:val="22"/>
        </w:rPr>
        <w:t>内的单价只适用本合同内工程量，</w:t>
      </w:r>
      <w:r>
        <w:rPr>
          <w:rFonts w:hint="eastAsia" w:ascii="仿宋" w:hAnsi="仿宋" w:eastAsia="仿宋" w:cs="仿宋"/>
          <w:b/>
          <w:bCs/>
          <w:i w:val="0"/>
          <w:iCs/>
          <w:color w:val="FF0000"/>
          <w:kern w:val="0"/>
          <w:sz w:val="22"/>
          <w:szCs w:val="22"/>
          <w:lang w:val="en-US" w:eastAsia="zh-CN"/>
        </w:rPr>
        <w:t>依据各分项实际工程量及对应价格进行结算，</w:t>
      </w:r>
      <w:r>
        <w:rPr>
          <w:rFonts w:hint="eastAsia" w:ascii="仿宋" w:hAnsi="仿宋" w:eastAsia="仿宋" w:cs="仿宋"/>
          <w:b/>
          <w:bCs/>
          <w:i w:val="0"/>
          <w:iCs/>
          <w:color w:val="FF0000"/>
          <w:kern w:val="0"/>
          <w:sz w:val="22"/>
          <w:szCs w:val="22"/>
        </w:rPr>
        <w:t>项目实施过程中因设计变更/现场条件变化致使工程量增加/增加合同外工作内容，</w:t>
      </w:r>
      <w:r>
        <w:rPr>
          <w:rFonts w:hint="eastAsia" w:ascii="仿宋" w:hAnsi="仿宋" w:eastAsia="仿宋" w:cs="仿宋"/>
          <w:b/>
          <w:bCs/>
          <w:i w:val="0"/>
          <w:iCs/>
          <w:color w:val="FF0000"/>
          <w:kern w:val="0"/>
          <w:sz w:val="22"/>
          <w:szCs w:val="22"/>
          <w:lang w:val="en-US" w:eastAsia="zh-CN"/>
        </w:rPr>
        <w:t>价格</w:t>
      </w:r>
      <w:r>
        <w:rPr>
          <w:rFonts w:hint="eastAsia" w:ascii="仿宋" w:hAnsi="仿宋" w:eastAsia="仿宋" w:cs="仿宋"/>
          <w:b/>
          <w:bCs/>
          <w:i w:val="0"/>
          <w:iCs/>
          <w:color w:val="FF0000"/>
          <w:kern w:val="0"/>
          <w:sz w:val="22"/>
          <w:szCs w:val="22"/>
        </w:rPr>
        <w:t>甲乙双方另行协商。</w:t>
      </w:r>
    </w:p>
    <w:bookmarkEnd w:id="6"/>
    <w:p w14:paraId="78F1488B">
      <w:pPr>
        <w:pStyle w:val="53"/>
        <w:numPr>
          <w:ilvl w:val="0"/>
          <w:numId w:val="0"/>
        </w:numPr>
        <w:snapToGrid w:val="0"/>
        <w:spacing w:line="360" w:lineRule="auto"/>
        <w:ind w:left="708" w:leftChars="0"/>
        <w:rPr>
          <w:rFonts w:hint="eastAsia" w:ascii="仿宋" w:hAnsi="仿宋" w:eastAsia="仿宋" w:cs="仿宋"/>
          <w:b/>
          <w:kern w:val="0"/>
          <w:sz w:val="22"/>
          <w:szCs w:val="22"/>
        </w:rPr>
      </w:pPr>
      <w:r>
        <w:rPr>
          <w:rFonts w:hint="eastAsia" w:ascii="仿宋" w:hAnsi="仿宋" w:eastAsia="仿宋" w:cs="仿宋"/>
          <w:b/>
          <w:kern w:val="0"/>
          <w:sz w:val="22"/>
          <w:szCs w:val="22"/>
          <w:lang w:val="en-US" w:eastAsia="zh-CN"/>
        </w:rPr>
        <w:t>3、</w:t>
      </w:r>
      <w:r>
        <w:rPr>
          <w:rFonts w:hint="eastAsia" w:ascii="仿宋" w:hAnsi="仿宋" w:eastAsia="仿宋" w:cs="仿宋"/>
          <w:b/>
          <w:kern w:val="0"/>
          <w:sz w:val="22"/>
          <w:szCs w:val="22"/>
        </w:rPr>
        <w:t>现场施工条件：</w:t>
      </w:r>
    </w:p>
    <w:p w14:paraId="0C0478DB">
      <w:pPr>
        <w:pStyle w:val="53"/>
        <w:numPr>
          <w:ilvl w:val="0"/>
          <w:numId w:val="4"/>
        </w:numPr>
        <w:snapToGrid w:val="0"/>
        <w:spacing w:line="360" w:lineRule="auto"/>
        <w:ind w:left="720" w:firstLine="0" w:firstLineChars="0"/>
        <w:rPr>
          <w:rFonts w:hint="eastAsia" w:ascii="仿宋" w:hAnsi="仿宋" w:eastAsia="仿宋" w:cs="仿宋"/>
          <w:kern w:val="0"/>
          <w:sz w:val="22"/>
          <w:szCs w:val="22"/>
        </w:rPr>
      </w:pPr>
      <w:r>
        <w:rPr>
          <w:rFonts w:hint="eastAsia" w:ascii="仿宋" w:hAnsi="仿宋" w:eastAsia="仿宋" w:cs="仿宋"/>
          <w:b w:val="0"/>
          <w:bCs w:val="0"/>
          <w:color w:val="auto"/>
          <w:kern w:val="0"/>
          <w:sz w:val="22"/>
          <w:szCs w:val="22"/>
          <w:highlight w:val="none"/>
          <w:lang w:val="en-US" w:eastAsia="zh-CN"/>
        </w:rPr>
        <w:t>襄阳公司</w:t>
      </w:r>
      <w:r>
        <w:rPr>
          <w:rFonts w:hint="eastAsia" w:ascii="仿宋" w:hAnsi="仿宋" w:eastAsia="仿宋" w:cs="仿宋"/>
          <w:b w:val="0"/>
          <w:bCs w:val="0"/>
          <w:color w:val="auto"/>
          <w:kern w:val="0"/>
          <w:sz w:val="22"/>
          <w:szCs w:val="22"/>
          <w:highlight w:val="none"/>
        </w:rPr>
        <w:t>提供电源和水源并按当月使用量收取费用（</w:t>
      </w:r>
      <w:r>
        <w:rPr>
          <w:rFonts w:hint="eastAsia" w:ascii="仿宋" w:hAnsi="仿宋" w:eastAsia="仿宋" w:cs="仿宋"/>
          <w:kern w:val="0"/>
          <w:sz w:val="22"/>
          <w:szCs w:val="22"/>
        </w:rPr>
        <w:t>价格以本公司对外购买结算均价为</w:t>
      </w:r>
    </w:p>
    <w:p w14:paraId="3E83C9DA">
      <w:pPr>
        <w:pStyle w:val="53"/>
        <w:numPr>
          <w:ilvl w:val="0"/>
          <w:numId w:val="0"/>
        </w:num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rPr>
        <w:t>准），由中选单位自行接线接管</w:t>
      </w:r>
    </w:p>
    <w:p w14:paraId="71E300C0">
      <w:pPr>
        <w:pStyle w:val="53"/>
        <w:snapToGrid w:val="0"/>
        <w:spacing w:line="360" w:lineRule="auto"/>
        <w:ind w:left="720" w:firstLine="0" w:firstLineChars="0"/>
        <w:rPr>
          <w:rFonts w:hint="eastAsia" w:ascii="仿宋" w:hAnsi="仿宋" w:eastAsia="仿宋" w:cs="仿宋"/>
          <w:b w:val="0"/>
          <w:bCs w:val="0"/>
          <w:color w:val="auto"/>
          <w:kern w:val="0"/>
          <w:sz w:val="22"/>
          <w:szCs w:val="22"/>
          <w:highlight w:val="none"/>
        </w:rPr>
      </w:pPr>
      <w:r>
        <w:rPr>
          <w:rFonts w:hint="eastAsia" w:ascii="仿宋" w:hAnsi="仿宋" w:eastAsia="仿宋" w:cs="仿宋"/>
          <w:kern w:val="0"/>
          <w:sz w:val="22"/>
          <w:szCs w:val="22"/>
        </w:rPr>
        <w:t>2）招选单位/下属工厂指定区域场地，</w:t>
      </w:r>
      <w:r>
        <w:rPr>
          <w:rFonts w:hint="eastAsia" w:ascii="仿宋" w:hAnsi="仿宋" w:eastAsia="仿宋" w:cs="仿宋"/>
          <w:b w:val="0"/>
          <w:bCs w:val="0"/>
          <w:color w:val="auto"/>
          <w:kern w:val="0"/>
          <w:sz w:val="22"/>
          <w:szCs w:val="22"/>
          <w:highlight w:val="none"/>
        </w:rPr>
        <w:t>中选单位自行修建生活和设备维修设施；</w:t>
      </w:r>
    </w:p>
    <w:p w14:paraId="5C08A072">
      <w:pPr>
        <w:pStyle w:val="53"/>
        <w:snapToGrid w:val="0"/>
        <w:spacing w:line="360" w:lineRule="auto"/>
        <w:ind w:left="720" w:firstLine="0" w:firstLineChars="0"/>
        <w:rPr>
          <w:rFonts w:hint="eastAsia" w:ascii="仿宋" w:hAnsi="仿宋" w:eastAsia="仿宋" w:cs="仿宋"/>
          <w:kern w:val="0"/>
          <w:sz w:val="22"/>
          <w:szCs w:val="22"/>
        </w:rPr>
      </w:pPr>
      <w:r>
        <w:rPr>
          <w:rFonts w:hint="eastAsia" w:ascii="仿宋" w:hAnsi="仿宋" w:eastAsia="仿宋" w:cs="仿宋"/>
          <w:kern w:val="0"/>
          <w:sz w:val="22"/>
          <w:szCs w:val="22"/>
        </w:rPr>
        <w:t>3）中选单位自主负责生活和维修区域的人身和设备安全及环境保护等一切责任。</w:t>
      </w:r>
    </w:p>
    <w:p w14:paraId="406A0F46">
      <w:pPr>
        <w:pStyle w:val="53"/>
        <w:snapToGrid w:val="0"/>
        <w:spacing w:line="360" w:lineRule="auto"/>
        <w:ind w:left="0" w:leftChars="0" w:firstLine="0" w:firstLineChars="0"/>
        <w:rPr>
          <w:rFonts w:hint="eastAsia" w:ascii="仿宋" w:hAnsi="仿宋" w:eastAsia="仿宋" w:cs="仿宋"/>
          <w:b/>
          <w:bCs/>
          <w:color w:val="FF0000"/>
          <w:sz w:val="22"/>
          <w:szCs w:val="22"/>
          <w:lang w:val="en-US" w:eastAsia="zh-CN"/>
        </w:rPr>
      </w:pPr>
      <w:r>
        <w:rPr>
          <w:rFonts w:hint="eastAsia" w:ascii="仿宋" w:hAnsi="仿宋" w:eastAsia="仿宋" w:cs="仿宋"/>
          <w:b/>
          <w:bCs/>
          <w:color w:val="FF0000"/>
          <w:sz w:val="22"/>
          <w:szCs w:val="22"/>
          <w:lang w:val="en-US" w:eastAsia="zh-CN"/>
        </w:rPr>
        <w:t>4、材料供应：本工程所需材料由乙方自行采购（如果甲供已备注说明除外），其相关设备及材料均需在甲方指定地点堆放。</w:t>
      </w:r>
    </w:p>
    <w:p w14:paraId="5BB66986">
      <w:pPr>
        <w:pStyle w:val="53"/>
        <w:numPr>
          <w:ilvl w:val="0"/>
          <w:numId w:val="5"/>
        </w:numPr>
        <w:snapToGrid w:val="0"/>
        <w:spacing w:line="360" w:lineRule="auto"/>
        <w:ind w:left="735" w:leftChars="0" w:firstLine="0" w:firstLineChars="0"/>
        <w:rPr>
          <w:rFonts w:hint="eastAsia" w:ascii="仿宋" w:hAnsi="仿宋" w:eastAsia="仿宋" w:cs="仿宋"/>
          <w:b/>
          <w:bCs/>
          <w:snapToGrid w:val="0"/>
          <w:color w:val="FF0000"/>
          <w:sz w:val="22"/>
          <w:szCs w:val="22"/>
          <w:lang w:val="en-US" w:eastAsia="zh-CN"/>
        </w:rPr>
      </w:pPr>
      <w:r>
        <w:rPr>
          <w:rFonts w:hint="eastAsia" w:ascii="仿宋" w:hAnsi="仿宋" w:eastAsia="仿宋" w:cs="仿宋"/>
          <w:b/>
          <w:bCs/>
          <w:sz w:val="22"/>
          <w:szCs w:val="22"/>
          <w:lang w:val="en-US" w:eastAsia="zh-CN"/>
        </w:rPr>
        <w:t>工程质量要求：</w:t>
      </w:r>
      <w:r>
        <w:rPr>
          <w:rFonts w:hint="eastAsia" w:ascii="仿宋" w:hAnsi="仿宋" w:eastAsia="仿宋" w:cs="仿宋"/>
          <w:b/>
          <w:bCs/>
          <w:color w:val="FF0000"/>
          <w:sz w:val="22"/>
          <w:szCs w:val="22"/>
          <w:lang w:val="en-US" w:eastAsia="zh-CN"/>
        </w:rPr>
        <w:t>详见附件1，附件2。</w:t>
      </w:r>
    </w:p>
    <w:p w14:paraId="7731E997">
      <w:pPr>
        <w:pStyle w:val="53"/>
        <w:numPr>
          <w:ilvl w:val="0"/>
          <w:numId w:val="0"/>
        </w:numPr>
        <w:snapToGrid w:val="0"/>
        <w:spacing w:line="360" w:lineRule="auto"/>
        <w:rPr>
          <w:rFonts w:hint="eastAsia" w:ascii="仿宋" w:hAnsi="仿宋" w:eastAsia="仿宋" w:cs="仿宋"/>
          <w:snapToGrid w:val="0"/>
          <w:sz w:val="22"/>
          <w:szCs w:val="22"/>
          <w:lang w:val="en-US" w:eastAsia="zh-CN"/>
        </w:rPr>
      </w:pPr>
      <w:r>
        <w:rPr>
          <w:rFonts w:hint="eastAsia" w:ascii="仿宋" w:hAnsi="仿宋" w:eastAsia="仿宋" w:cs="仿宋"/>
          <w:b/>
          <w:bCs/>
          <w:color w:val="FF0000"/>
          <w:sz w:val="22"/>
          <w:szCs w:val="22"/>
          <w:lang w:val="en-US" w:eastAsia="zh-CN"/>
        </w:rPr>
        <w:t>5.1</w:t>
      </w:r>
      <w:r>
        <w:rPr>
          <w:rFonts w:hint="eastAsia" w:ascii="仿宋" w:hAnsi="仿宋" w:eastAsia="仿宋" w:cs="仿宋"/>
          <w:b/>
          <w:bCs/>
          <w:snapToGrid w:val="0"/>
          <w:color w:val="FF0000"/>
          <w:sz w:val="22"/>
          <w:szCs w:val="22"/>
        </w:rPr>
        <w:t>工程工期要求：</w:t>
      </w:r>
      <w:r>
        <w:rPr>
          <w:rFonts w:hint="eastAsia" w:ascii="仿宋" w:hAnsi="仿宋" w:eastAsia="仿宋" w:cs="仿宋"/>
          <w:b/>
          <w:bCs/>
          <w:snapToGrid w:val="0"/>
          <w:color w:val="FF0000"/>
          <w:sz w:val="22"/>
          <w:szCs w:val="22"/>
          <w:lang w:val="en-US" w:eastAsia="zh-CN"/>
        </w:rPr>
        <w:t>签订合同后，40天完成施工达到验收标准</w:t>
      </w:r>
      <w:r>
        <w:rPr>
          <w:rFonts w:hint="eastAsia" w:ascii="仿宋" w:hAnsi="仿宋" w:eastAsia="仿宋" w:cs="仿宋"/>
          <w:b/>
          <w:bCs/>
          <w:color w:val="FF0000"/>
          <w:sz w:val="22"/>
          <w:szCs w:val="22"/>
          <w:lang w:eastAsia="zh-CN"/>
        </w:rPr>
        <w:t>，</w:t>
      </w:r>
      <w:r>
        <w:rPr>
          <w:rFonts w:hint="eastAsia" w:ascii="仿宋" w:hAnsi="仿宋" w:eastAsia="仿宋" w:cs="仿宋"/>
          <w:b/>
          <w:bCs/>
          <w:color w:val="FF0000"/>
          <w:sz w:val="22"/>
          <w:szCs w:val="22"/>
          <w:lang w:val="en-US" w:eastAsia="zh-CN"/>
        </w:rPr>
        <w:t>工程</w:t>
      </w:r>
      <w:r>
        <w:rPr>
          <w:rFonts w:hint="eastAsia" w:ascii="仿宋" w:hAnsi="仿宋" w:eastAsia="仿宋" w:cs="仿宋"/>
          <w:b/>
          <w:bCs/>
          <w:snapToGrid w:val="0"/>
          <w:color w:val="FF0000"/>
          <w:sz w:val="22"/>
          <w:szCs w:val="22"/>
          <w:lang w:val="en-US" w:eastAsia="zh-CN"/>
        </w:rPr>
        <w:t>质保期1年，</w:t>
      </w:r>
      <w:r>
        <w:rPr>
          <w:rFonts w:hint="eastAsia" w:ascii="仿宋" w:hAnsi="仿宋" w:eastAsia="仿宋" w:cs="仿宋"/>
          <w:b/>
          <w:bCs/>
          <w:snapToGrid w:val="0"/>
          <w:color w:val="FF0000"/>
          <w:sz w:val="22"/>
          <w:szCs w:val="22"/>
        </w:rPr>
        <w:t>因乙方原因延误工期，每延误</w:t>
      </w:r>
      <w:r>
        <w:rPr>
          <w:rFonts w:hint="eastAsia" w:ascii="仿宋" w:hAnsi="仿宋" w:eastAsia="仿宋" w:cs="仿宋"/>
          <w:b/>
          <w:bCs/>
          <w:snapToGrid w:val="0"/>
          <w:color w:val="FF0000"/>
          <w:sz w:val="22"/>
          <w:szCs w:val="22"/>
          <w:highlight w:val="none"/>
        </w:rPr>
        <w:t>一天，业主按合同总价的1‰向乙方</w:t>
      </w:r>
      <w:r>
        <w:rPr>
          <w:rFonts w:hint="eastAsia" w:ascii="仿宋" w:hAnsi="仿宋" w:eastAsia="仿宋" w:cs="仿宋"/>
          <w:b/>
          <w:bCs/>
          <w:snapToGrid w:val="0"/>
          <w:color w:val="FF0000"/>
          <w:sz w:val="22"/>
          <w:szCs w:val="22"/>
        </w:rPr>
        <w:t>收取逾期补偿金。本工程按国家现行验收规范、施工图纸和技术要求100%合格</w:t>
      </w:r>
      <w:r>
        <w:rPr>
          <w:rFonts w:hint="eastAsia" w:ascii="仿宋" w:hAnsi="仿宋" w:eastAsia="仿宋" w:cs="仿宋"/>
          <w:b/>
          <w:bCs/>
          <w:snapToGrid w:val="0"/>
          <w:color w:val="FF0000"/>
          <w:sz w:val="22"/>
          <w:szCs w:val="22"/>
          <w:lang w:eastAsia="zh-CN"/>
        </w:rPr>
        <w:t>，</w:t>
      </w:r>
      <w:r>
        <w:rPr>
          <w:rFonts w:hint="eastAsia" w:ascii="仿宋" w:hAnsi="仿宋" w:eastAsia="仿宋" w:cs="仿宋"/>
          <w:b/>
          <w:bCs/>
          <w:snapToGrid w:val="0"/>
          <w:color w:val="FF0000"/>
          <w:sz w:val="22"/>
          <w:szCs w:val="22"/>
        </w:rPr>
        <w:t>若一次性验收不合格则按合同工程总价的3%处以罚款。</w:t>
      </w:r>
      <w:r>
        <w:rPr>
          <w:rFonts w:hint="eastAsia" w:ascii="仿宋" w:hAnsi="仿宋" w:eastAsia="仿宋" w:cs="仿宋"/>
          <w:b w:val="0"/>
          <w:bCs/>
          <w:kern w:val="0"/>
          <w:sz w:val="22"/>
          <w:szCs w:val="22"/>
          <w:highlight w:val="none"/>
        </w:rPr>
        <w:t>投标方须能协助</w:t>
      </w:r>
      <w:r>
        <w:rPr>
          <w:rFonts w:hint="eastAsia" w:ascii="仿宋" w:hAnsi="仿宋" w:eastAsia="仿宋" w:cs="仿宋"/>
          <w:b w:val="0"/>
          <w:bCs/>
          <w:kern w:val="0"/>
          <w:sz w:val="22"/>
          <w:szCs w:val="22"/>
          <w:highlight w:val="none"/>
          <w:lang w:val="en-US" w:eastAsia="zh-CN"/>
        </w:rPr>
        <w:t>工厂</w:t>
      </w:r>
      <w:r>
        <w:rPr>
          <w:rFonts w:hint="eastAsia" w:ascii="仿宋" w:hAnsi="仿宋" w:eastAsia="仿宋" w:cs="仿宋"/>
          <w:b w:val="0"/>
          <w:bCs/>
          <w:kern w:val="0"/>
          <w:sz w:val="22"/>
          <w:szCs w:val="22"/>
          <w:highlight w:val="none"/>
        </w:rPr>
        <w:t>办理</w:t>
      </w:r>
      <w:r>
        <w:rPr>
          <w:rFonts w:hint="eastAsia" w:ascii="仿宋" w:hAnsi="仿宋" w:eastAsia="仿宋" w:cs="仿宋"/>
          <w:b w:val="0"/>
          <w:bCs/>
          <w:kern w:val="0"/>
          <w:sz w:val="22"/>
          <w:szCs w:val="22"/>
          <w:highlight w:val="none"/>
          <w:lang w:val="en-US" w:eastAsia="zh-CN"/>
        </w:rPr>
        <w:t>项目</w:t>
      </w:r>
      <w:r>
        <w:rPr>
          <w:rFonts w:hint="eastAsia" w:ascii="仿宋" w:hAnsi="仿宋" w:eastAsia="仿宋" w:cs="仿宋"/>
          <w:b w:val="0"/>
          <w:bCs/>
          <w:kern w:val="0"/>
          <w:sz w:val="22"/>
          <w:szCs w:val="22"/>
          <w:highlight w:val="none"/>
        </w:rPr>
        <w:t>验收工作</w:t>
      </w:r>
      <w:r>
        <w:rPr>
          <w:rFonts w:hint="eastAsia" w:ascii="仿宋" w:hAnsi="仿宋" w:eastAsia="仿宋" w:cs="仿宋"/>
          <w:snapToGrid w:val="0"/>
          <w:sz w:val="22"/>
          <w:szCs w:val="22"/>
        </w:rPr>
        <w:t>。</w:t>
      </w:r>
      <w:r>
        <w:rPr>
          <w:rFonts w:hint="eastAsia" w:ascii="仿宋" w:hAnsi="仿宋" w:eastAsia="仿宋" w:cs="仿宋"/>
          <w:snapToGrid w:val="0"/>
          <w:sz w:val="22"/>
          <w:szCs w:val="22"/>
          <w:lang w:val="en-US" w:eastAsia="zh-CN"/>
        </w:rPr>
        <w:t>因乙方原因造成项目无法按时完成验收，由此对甲方造成的损失全部由乙方承担。</w:t>
      </w:r>
    </w:p>
    <w:p w14:paraId="6A214678">
      <w:pPr>
        <w:numPr>
          <w:ilvl w:val="0"/>
          <w:numId w:val="5"/>
        </w:numPr>
        <w:adjustRightInd w:val="0"/>
        <w:snapToGrid w:val="0"/>
        <w:spacing w:line="360" w:lineRule="auto"/>
        <w:ind w:left="735" w:leftChars="0" w:firstLine="0" w:firstLineChars="0"/>
        <w:rPr>
          <w:rFonts w:hint="eastAsia" w:ascii="仿宋" w:hAnsi="仿宋" w:eastAsia="仿宋" w:cs="仿宋"/>
          <w:b/>
          <w:bCs w:val="0"/>
          <w:kern w:val="0"/>
          <w:sz w:val="22"/>
          <w:szCs w:val="22"/>
          <w:highlight w:val="none"/>
        </w:rPr>
      </w:pPr>
      <w:r>
        <w:rPr>
          <w:rFonts w:hint="eastAsia" w:ascii="仿宋" w:hAnsi="仿宋" w:eastAsia="仿宋" w:cs="仿宋"/>
          <w:b/>
          <w:bCs w:val="0"/>
          <w:kern w:val="0"/>
          <w:sz w:val="22"/>
          <w:szCs w:val="22"/>
          <w:highlight w:val="none"/>
          <w:lang w:val="en-US" w:eastAsia="zh-CN"/>
        </w:rPr>
        <w:t>验收及付款：无预付款</w:t>
      </w:r>
    </w:p>
    <w:p w14:paraId="1BF42451">
      <w:pPr>
        <w:adjustRightInd w:val="0"/>
        <w:snapToGrid w:val="0"/>
        <w:spacing w:line="360" w:lineRule="auto"/>
        <w:ind w:firstLine="773" w:firstLineChars="350"/>
        <w:rPr>
          <w:rFonts w:hint="eastAsia" w:ascii="仿宋" w:hAnsi="仿宋" w:eastAsia="仿宋" w:cs="仿宋"/>
          <w:snapToGrid w:val="0"/>
          <w:sz w:val="22"/>
          <w:szCs w:val="22"/>
        </w:rPr>
      </w:pPr>
      <w:r>
        <w:rPr>
          <w:rFonts w:hint="eastAsia" w:ascii="仿宋" w:hAnsi="仿宋" w:eastAsia="仿宋" w:cs="仿宋"/>
          <w:b/>
          <w:bCs/>
          <w:snapToGrid w:val="0"/>
          <w:sz w:val="22"/>
          <w:szCs w:val="22"/>
          <w:lang w:val="en-US" w:eastAsia="zh-CN"/>
        </w:rPr>
        <w:t>6.1</w:t>
      </w:r>
      <w:r>
        <w:rPr>
          <w:rFonts w:hint="eastAsia" w:ascii="仿宋" w:hAnsi="仿宋" w:eastAsia="仿宋" w:cs="仿宋"/>
          <w:b/>
          <w:bCs/>
          <w:snapToGrid w:val="0"/>
          <w:sz w:val="22"/>
          <w:szCs w:val="22"/>
        </w:rPr>
        <w:t>一次性验收：</w:t>
      </w:r>
      <w:r>
        <w:rPr>
          <w:rFonts w:hint="eastAsia" w:ascii="仿宋" w:hAnsi="仿宋" w:eastAsia="仿宋" w:cs="仿宋"/>
          <w:snapToGrid w:val="0"/>
          <w:sz w:val="22"/>
          <w:szCs w:val="22"/>
        </w:rPr>
        <w:t>工程实质性完工，乙方提交竣工验收资料（含签证资料）及甲方要求报告资料，凭合同内竣工结算报告同时提供合同总金额80%的增值税专用发票，甲方办理预竣工结算，支付至合同总金额80%。</w:t>
      </w:r>
    </w:p>
    <w:p w14:paraId="0FDAEB29">
      <w:pPr>
        <w:adjustRightInd w:val="0"/>
        <w:snapToGrid w:val="0"/>
        <w:spacing w:line="360" w:lineRule="auto"/>
        <w:ind w:firstLine="550" w:firstLineChars="250"/>
        <w:rPr>
          <w:rFonts w:hint="eastAsia" w:ascii="仿宋" w:hAnsi="仿宋" w:eastAsia="仿宋" w:cs="仿宋"/>
          <w:i w:val="0"/>
          <w:iCs/>
          <w:kern w:val="0"/>
          <w:sz w:val="22"/>
          <w:szCs w:val="22"/>
        </w:rPr>
      </w:pPr>
      <w:r>
        <w:rPr>
          <w:rFonts w:hint="eastAsia" w:ascii="仿宋" w:hAnsi="仿宋" w:eastAsia="仿宋" w:cs="仿宋"/>
          <w:i w:val="0"/>
          <w:iCs/>
          <w:kern w:val="0"/>
          <w:sz w:val="22"/>
          <w:szCs w:val="22"/>
        </w:rPr>
        <w:t>注：在出具造价审核结论之前，不得支付超过合同总金额80%。在出具造价审核结论之后，根据结论结果开具对应尾款发票办理正式竣工结算，支付至结算总额的9</w:t>
      </w:r>
      <w:r>
        <w:rPr>
          <w:rFonts w:hint="eastAsia" w:ascii="仿宋" w:hAnsi="仿宋" w:eastAsia="仿宋" w:cs="仿宋"/>
          <w:i w:val="0"/>
          <w:iCs/>
          <w:kern w:val="0"/>
          <w:sz w:val="22"/>
          <w:szCs w:val="22"/>
          <w:lang w:val="en-US" w:eastAsia="zh-CN"/>
        </w:rPr>
        <w:t>0</w:t>
      </w:r>
      <w:r>
        <w:rPr>
          <w:rFonts w:hint="eastAsia" w:ascii="仿宋" w:hAnsi="仿宋" w:eastAsia="仿宋" w:cs="仿宋"/>
          <w:i w:val="0"/>
          <w:iCs/>
          <w:kern w:val="0"/>
          <w:sz w:val="22"/>
          <w:szCs w:val="22"/>
        </w:rPr>
        <w:t>%。结算总额</w:t>
      </w:r>
      <w:r>
        <w:rPr>
          <w:rFonts w:hint="eastAsia" w:ascii="仿宋" w:hAnsi="仿宋" w:eastAsia="仿宋" w:cs="仿宋"/>
          <w:i w:val="0"/>
          <w:iCs/>
          <w:kern w:val="0"/>
          <w:sz w:val="22"/>
          <w:szCs w:val="22"/>
          <w:lang w:val="en-US" w:eastAsia="zh-CN"/>
        </w:rPr>
        <w:t>10</w:t>
      </w:r>
      <w:r>
        <w:rPr>
          <w:rFonts w:hint="eastAsia" w:ascii="仿宋" w:hAnsi="仿宋" w:eastAsia="仿宋" w:cs="仿宋"/>
          <w:i w:val="0"/>
          <w:iCs/>
          <w:kern w:val="0"/>
          <w:sz w:val="22"/>
          <w:szCs w:val="22"/>
        </w:rPr>
        <w:t>%为合同质保金，在质保期满后无任何质量问题，甲方在一个月内付清质保金。合同工程</w:t>
      </w:r>
      <w:r>
        <w:rPr>
          <w:rFonts w:hint="eastAsia" w:ascii="仿宋" w:hAnsi="仿宋" w:eastAsia="仿宋" w:cs="仿宋"/>
          <w:i w:val="0"/>
          <w:iCs/>
          <w:kern w:val="0"/>
          <w:sz w:val="22"/>
          <w:szCs w:val="22"/>
          <w:lang w:val="en-US" w:eastAsia="zh-CN"/>
        </w:rPr>
        <w:t>质保</w:t>
      </w:r>
      <w:r>
        <w:rPr>
          <w:rFonts w:hint="eastAsia" w:ascii="仿宋" w:hAnsi="仿宋" w:eastAsia="仿宋" w:cs="仿宋"/>
          <w:i w:val="0"/>
          <w:iCs/>
          <w:kern w:val="0"/>
          <w:sz w:val="22"/>
          <w:szCs w:val="22"/>
        </w:rPr>
        <w:t>期开始时间为合同工程办理竣工结算之日算起。</w:t>
      </w:r>
    </w:p>
    <w:p w14:paraId="31513DEB">
      <w:pPr>
        <w:widowControl w:val="0"/>
        <w:adjustRightInd w:val="0"/>
        <w:snapToGrid w:val="0"/>
        <w:spacing w:line="360" w:lineRule="auto"/>
        <w:ind w:firstLine="567"/>
        <w:jc w:val="both"/>
        <w:rPr>
          <w:rFonts w:hint="eastAsia" w:ascii="仿宋" w:hAnsi="仿宋" w:eastAsia="仿宋" w:cs="仿宋"/>
          <w:b/>
          <w:snapToGrid w:val="0"/>
          <w:color w:val="000000"/>
          <w:sz w:val="22"/>
          <w:szCs w:val="22"/>
          <w:highlight w:val="none"/>
        </w:rPr>
      </w:pPr>
      <w:r>
        <w:rPr>
          <w:rFonts w:hint="eastAsia" w:ascii="仿宋" w:hAnsi="仿宋" w:eastAsia="仿宋" w:cs="仿宋"/>
          <w:snapToGrid w:val="0"/>
          <w:sz w:val="22"/>
          <w:szCs w:val="22"/>
        </w:rPr>
        <w:t>8、工程资金来源：</w:t>
      </w:r>
      <w:r>
        <w:rPr>
          <w:rFonts w:hint="eastAsia" w:ascii="仿宋" w:hAnsi="仿宋" w:eastAsia="仿宋" w:cs="仿宋"/>
          <w:snapToGrid w:val="0"/>
          <w:sz w:val="22"/>
          <w:szCs w:val="22"/>
          <w:highlight w:val="none"/>
        </w:rPr>
        <w:t>自筹资金</w:t>
      </w:r>
      <w:r>
        <w:rPr>
          <w:rFonts w:hint="eastAsia" w:ascii="仿宋" w:hAnsi="仿宋" w:eastAsia="仿宋" w:cs="仿宋"/>
          <w:b/>
          <w:snapToGrid w:val="0"/>
          <w:color w:val="000000"/>
          <w:sz w:val="22"/>
          <w:szCs w:val="22"/>
          <w:highlight w:val="none"/>
        </w:rPr>
        <w:t>。</w:t>
      </w:r>
    </w:p>
    <w:p w14:paraId="6309C215">
      <w:pPr>
        <w:widowControl w:val="0"/>
        <w:adjustRightInd w:val="0"/>
        <w:snapToGrid w:val="0"/>
        <w:spacing w:line="360" w:lineRule="auto"/>
        <w:ind w:firstLine="567"/>
        <w:jc w:val="both"/>
        <w:rPr>
          <w:rFonts w:hint="eastAsia" w:ascii="仿宋" w:hAnsi="仿宋" w:eastAsia="仿宋" w:cs="仿宋"/>
          <w:snapToGrid w:val="0"/>
          <w:sz w:val="22"/>
          <w:szCs w:val="22"/>
        </w:rPr>
      </w:pPr>
      <w:r>
        <w:rPr>
          <w:rFonts w:hint="eastAsia" w:ascii="仿宋" w:hAnsi="仿宋" w:eastAsia="仿宋" w:cs="仿宋"/>
          <w:b/>
          <w:snapToGrid w:val="0"/>
          <w:sz w:val="22"/>
          <w:szCs w:val="22"/>
        </w:rPr>
        <w:t>9、</w:t>
      </w:r>
      <w:r>
        <w:rPr>
          <w:rFonts w:hint="eastAsia" w:ascii="仿宋" w:hAnsi="仿宋" w:eastAsia="仿宋" w:cs="仿宋"/>
          <w:snapToGrid w:val="0"/>
          <w:sz w:val="22"/>
          <w:szCs w:val="22"/>
        </w:rPr>
        <w:t>原则上招选仅进行</w:t>
      </w:r>
      <w:r>
        <w:rPr>
          <w:rFonts w:hint="eastAsia" w:ascii="仿宋" w:hAnsi="仿宋" w:eastAsia="仿宋" w:cs="仿宋"/>
          <w:snapToGrid w:val="0"/>
          <w:sz w:val="22"/>
          <w:szCs w:val="22"/>
          <w:highlight w:val="none"/>
        </w:rPr>
        <w:t>一轮报</w:t>
      </w:r>
      <w:r>
        <w:rPr>
          <w:rFonts w:hint="eastAsia" w:ascii="仿宋" w:hAnsi="仿宋" w:eastAsia="仿宋" w:cs="仿宋"/>
          <w:snapToGrid w:val="0"/>
          <w:sz w:val="22"/>
          <w:szCs w:val="22"/>
        </w:rPr>
        <w:t>价，最终价格通过竞拍进行确认。</w:t>
      </w:r>
    </w:p>
    <w:p w14:paraId="0783B66A">
      <w:pPr>
        <w:widowControl w:val="0"/>
        <w:adjustRightInd w:val="0"/>
        <w:snapToGrid w:val="0"/>
        <w:spacing w:line="360" w:lineRule="auto"/>
        <w:ind w:firstLine="567"/>
        <w:jc w:val="both"/>
        <w:rPr>
          <w:rFonts w:hint="eastAsia" w:ascii="仿宋" w:hAnsi="仿宋" w:eastAsia="仿宋" w:cs="仿宋"/>
          <w:b/>
          <w:bCs/>
          <w:kern w:val="0"/>
          <w:sz w:val="22"/>
          <w:szCs w:val="22"/>
          <w:highlight w:val="none"/>
        </w:rPr>
      </w:pPr>
      <w:r>
        <w:rPr>
          <w:rFonts w:hint="eastAsia" w:ascii="仿宋" w:hAnsi="仿宋" w:eastAsia="仿宋" w:cs="仿宋"/>
          <w:b/>
          <w:snapToGrid w:val="0"/>
          <w:sz w:val="22"/>
          <w:szCs w:val="22"/>
        </w:rPr>
        <w:t>10、</w:t>
      </w:r>
      <w:r>
        <w:rPr>
          <w:rFonts w:hint="eastAsia" w:ascii="仿宋" w:hAnsi="仿宋" w:eastAsia="仿宋" w:cs="仿宋"/>
          <w:snapToGrid w:val="0"/>
          <w:sz w:val="22"/>
          <w:szCs w:val="22"/>
        </w:rPr>
        <w:t>本项目合同模版及相关条款见</w:t>
      </w:r>
      <w:r>
        <w:rPr>
          <w:rFonts w:hint="eastAsia" w:ascii="仿宋" w:hAnsi="仿宋" w:eastAsia="仿宋" w:cs="仿宋"/>
          <w:b/>
          <w:bCs/>
          <w:snapToGrid w:val="0"/>
          <w:color w:val="FF0000"/>
          <w:sz w:val="22"/>
          <w:szCs w:val="22"/>
        </w:rPr>
        <w:t>附件</w:t>
      </w:r>
      <w:r>
        <w:rPr>
          <w:rFonts w:hint="eastAsia" w:ascii="仿宋" w:hAnsi="仿宋" w:eastAsia="仿宋" w:cs="仿宋"/>
          <w:b/>
          <w:bCs/>
          <w:snapToGrid w:val="0"/>
          <w:color w:val="FF0000"/>
          <w:sz w:val="22"/>
          <w:szCs w:val="22"/>
          <w:lang w:val="en-US" w:eastAsia="zh-CN"/>
        </w:rPr>
        <w:t>11：合同模版</w:t>
      </w:r>
    </w:p>
    <w:p w14:paraId="49015B5F">
      <w:pPr>
        <w:pStyle w:val="53"/>
        <w:snapToGrid w:val="0"/>
        <w:spacing w:line="360" w:lineRule="auto"/>
        <w:ind w:left="0" w:leftChars="0" w:firstLine="0" w:firstLineChars="0"/>
        <w:jc w:val="left"/>
        <w:rPr>
          <w:rFonts w:hint="eastAsia" w:ascii="仿宋" w:hAnsi="仿宋" w:eastAsia="仿宋" w:cs="仿宋"/>
          <w:b w:val="0"/>
          <w:bCs/>
          <w:kern w:val="0"/>
          <w:sz w:val="22"/>
          <w:szCs w:val="22"/>
          <w:highlight w:val="yellow"/>
        </w:rPr>
      </w:pPr>
      <w:r>
        <w:rPr>
          <w:rFonts w:hint="eastAsia" w:ascii="仿宋" w:hAnsi="仿宋" w:eastAsia="仿宋" w:cs="仿宋"/>
          <w:b w:val="0"/>
          <w:bCs/>
          <w:kern w:val="0"/>
          <w:sz w:val="22"/>
          <w:szCs w:val="22"/>
          <w:highlight w:val="none"/>
          <w:lang w:val="en-US" w:eastAsia="zh-CN"/>
        </w:rPr>
        <w:t>注：</w:t>
      </w:r>
      <w:r>
        <w:rPr>
          <w:rFonts w:hint="eastAsia" w:ascii="仿宋" w:hAnsi="仿宋" w:eastAsia="仿宋" w:cs="仿宋"/>
          <w:b w:val="0"/>
          <w:bCs/>
          <w:kern w:val="0"/>
          <w:sz w:val="22"/>
          <w:szCs w:val="22"/>
          <w:highlight w:val="none"/>
        </w:rPr>
        <w:t>不允许投标人以任何方式联合投标。</w:t>
      </w:r>
    </w:p>
    <w:p w14:paraId="43E619DB">
      <w:pPr>
        <w:snapToGrid w:val="0"/>
        <w:spacing w:line="360" w:lineRule="auto"/>
        <w:rPr>
          <w:rFonts w:hint="eastAsia" w:ascii="仿宋" w:hAnsi="仿宋" w:eastAsia="仿宋" w:cs="仿宋"/>
          <w:kern w:val="0"/>
          <w:sz w:val="22"/>
          <w:szCs w:val="22"/>
        </w:rPr>
      </w:pPr>
      <w:r>
        <w:rPr>
          <w:rFonts w:hint="eastAsia" w:ascii="仿宋" w:hAnsi="仿宋" w:eastAsia="仿宋" w:cs="仿宋"/>
          <w:b/>
          <w:kern w:val="0"/>
          <w:sz w:val="22"/>
          <w:szCs w:val="22"/>
        </w:rPr>
        <w:t>四、应选单位应具备的资格及相关要求：</w:t>
      </w:r>
    </w:p>
    <w:p w14:paraId="766DF84E">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1、应选单位在中国境内注册的独立法人，没有处于被责令停业、取消投标资格、财产被接管/冻结及破产等状态，且近三年内没有骗取中标和严重违约及重大质量问题；</w:t>
      </w:r>
    </w:p>
    <w:p w14:paraId="1130E25A">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2、应选单位应具有企业营业执照、税务登记证、组织机构代码证等有效资质；并可开具增值税专用发票的一般纳税人；</w:t>
      </w:r>
    </w:p>
    <w:p w14:paraId="689816CE">
      <w:pPr>
        <w:snapToGrid w:val="0"/>
        <w:spacing w:line="360" w:lineRule="auto"/>
        <w:ind w:firstLine="442" w:firstLineChars="200"/>
        <w:rPr>
          <w:rFonts w:hint="eastAsia" w:ascii="仿宋" w:hAnsi="仿宋" w:eastAsia="仿宋" w:cs="仿宋"/>
          <w:b/>
          <w:bCs/>
          <w:color w:val="FF0000"/>
          <w:kern w:val="0"/>
          <w:sz w:val="22"/>
          <w:szCs w:val="22"/>
          <w:highlight w:val="none"/>
          <w:lang w:eastAsia="zh-CN"/>
        </w:rPr>
      </w:pPr>
      <w:r>
        <w:rPr>
          <w:rFonts w:hint="eastAsia" w:ascii="仿宋" w:hAnsi="仿宋" w:eastAsia="仿宋" w:cs="仿宋"/>
          <w:b/>
          <w:bCs/>
          <w:color w:val="FF0000"/>
          <w:kern w:val="0"/>
          <w:sz w:val="22"/>
          <w:szCs w:val="22"/>
        </w:rPr>
        <w:t>3、</w:t>
      </w:r>
      <w:r>
        <w:rPr>
          <w:rFonts w:hint="eastAsia" w:ascii="仿宋" w:hAnsi="仿宋" w:eastAsia="仿宋" w:cs="仿宋"/>
          <w:b/>
          <w:bCs/>
          <w:color w:val="FF0000"/>
          <w:kern w:val="0"/>
          <w:sz w:val="22"/>
          <w:szCs w:val="22"/>
          <w:lang w:val="en-US" w:eastAsia="zh-CN"/>
        </w:rPr>
        <w:t>应选单位须具备</w:t>
      </w:r>
      <w:r>
        <w:rPr>
          <w:rFonts w:hint="eastAsia" w:ascii="仿宋" w:hAnsi="仿宋" w:eastAsia="仿宋" w:cs="仿宋"/>
          <w:b/>
          <w:bCs/>
          <w:color w:val="FF0000"/>
          <w:kern w:val="0"/>
          <w:sz w:val="22"/>
          <w:szCs w:val="22"/>
        </w:rPr>
        <w:t>建筑施工总承包二级</w:t>
      </w:r>
      <w:r>
        <w:rPr>
          <w:rFonts w:hint="eastAsia" w:ascii="仿宋" w:hAnsi="仿宋" w:eastAsia="仿宋" w:cs="仿宋"/>
          <w:b/>
          <w:bCs/>
          <w:color w:val="FF0000"/>
          <w:kern w:val="0"/>
          <w:sz w:val="22"/>
          <w:szCs w:val="22"/>
          <w:lang w:eastAsia="zh-CN"/>
        </w:rPr>
        <w:t>（</w:t>
      </w:r>
      <w:r>
        <w:rPr>
          <w:rFonts w:hint="eastAsia" w:ascii="仿宋" w:hAnsi="仿宋" w:eastAsia="仿宋" w:cs="仿宋"/>
          <w:b/>
          <w:bCs/>
          <w:color w:val="FF0000"/>
          <w:kern w:val="0"/>
          <w:sz w:val="22"/>
          <w:szCs w:val="22"/>
          <w:lang w:val="en-US" w:eastAsia="zh-CN"/>
        </w:rPr>
        <w:t>或以上</w:t>
      </w:r>
      <w:r>
        <w:rPr>
          <w:rFonts w:hint="eastAsia" w:ascii="仿宋" w:hAnsi="仿宋" w:eastAsia="仿宋" w:cs="仿宋"/>
          <w:b/>
          <w:bCs/>
          <w:color w:val="FF0000"/>
          <w:kern w:val="0"/>
          <w:sz w:val="22"/>
          <w:szCs w:val="22"/>
          <w:lang w:eastAsia="zh-CN"/>
        </w:rPr>
        <w:t>）</w:t>
      </w:r>
      <w:r>
        <w:rPr>
          <w:rFonts w:hint="eastAsia" w:ascii="仿宋" w:hAnsi="仿宋" w:eastAsia="仿宋" w:cs="仿宋"/>
          <w:b/>
          <w:bCs/>
          <w:color w:val="FF0000"/>
          <w:kern w:val="0"/>
          <w:sz w:val="22"/>
          <w:szCs w:val="22"/>
        </w:rPr>
        <w:t>资质</w:t>
      </w:r>
      <w:r>
        <w:rPr>
          <w:rFonts w:hint="eastAsia" w:ascii="仿宋" w:hAnsi="仿宋" w:eastAsia="仿宋" w:cs="仿宋"/>
          <w:b/>
          <w:bCs/>
          <w:color w:val="FF0000"/>
          <w:kern w:val="0"/>
          <w:sz w:val="22"/>
          <w:szCs w:val="22"/>
          <w:lang w:val="en-US" w:eastAsia="zh-CN"/>
        </w:rPr>
        <w:t>或矿山工程施工总承包三级（或以上）资质</w:t>
      </w:r>
      <w:r>
        <w:rPr>
          <w:rFonts w:hint="eastAsia" w:ascii="仿宋" w:hAnsi="仿宋" w:eastAsia="仿宋" w:cs="仿宋"/>
          <w:b/>
          <w:bCs/>
          <w:color w:val="FF0000"/>
          <w:kern w:val="0"/>
          <w:sz w:val="22"/>
          <w:szCs w:val="22"/>
          <w:lang w:eastAsia="zh-CN"/>
        </w:rPr>
        <w:t>、</w:t>
      </w:r>
      <w:r>
        <w:rPr>
          <w:rFonts w:hint="eastAsia" w:ascii="仿宋" w:hAnsi="仿宋" w:eastAsia="仿宋" w:cs="仿宋"/>
          <w:b/>
          <w:bCs/>
          <w:color w:val="FF0000"/>
          <w:kern w:val="0"/>
          <w:sz w:val="22"/>
          <w:szCs w:val="22"/>
          <w:lang w:val="en-US" w:eastAsia="zh-CN"/>
        </w:rPr>
        <w:t>安全生产许可证，</w:t>
      </w:r>
      <w:r>
        <w:rPr>
          <w:rFonts w:hint="eastAsia" w:ascii="仿宋" w:hAnsi="仿宋" w:eastAsia="仿宋" w:cs="仿宋"/>
          <w:b/>
          <w:bCs/>
          <w:color w:val="FF0000"/>
          <w:sz w:val="22"/>
          <w:szCs w:val="22"/>
        </w:rPr>
        <w:t>具有基建</w:t>
      </w:r>
      <w:r>
        <w:rPr>
          <w:rFonts w:hint="eastAsia" w:ascii="仿宋" w:hAnsi="仿宋" w:eastAsia="仿宋" w:cs="仿宋"/>
          <w:b/>
          <w:bCs/>
          <w:color w:val="FF0000"/>
          <w:sz w:val="22"/>
          <w:szCs w:val="22"/>
          <w:lang w:val="en-US" w:eastAsia="zh-CN"/>
        </w:rPr>
        <w:t>工程</w:t>
      </w:r>
      <w:r>
        <w:rPr>
          <w:rFonts w:hint="eastAsia" w:ascii="仿宋" w:hAnsi="仿宋" w:eastAsia="仿宋" w:cs="仿宋"/>
          <w:b/>
          <w:bCs/>
          <w:color w:val="FF0000"/>
          <w:sz w:val="22"/>
          <w:szCs w:val="22"/>
        </w:rPr>
        <w:t>施工经验，并提供相关有效证明文件。</w:t>
      </w:r>
    </w:p>
    <w:p w14:paraId="3C74D0D0">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4、应选单位尽可能提供近三年经审计的财务报表；</w:t>
      </w:r>
    </w:p>
    <w:p w14:paraId="72456679">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5、如要求缴纳投标保证金的项目，应选单位需提供投标保证金成功转账的银行回单。凡出现投标保证金未到位或未足额提交等情况，均取消其应选资格；</w:t>
      </w:r>
    </w:p>
    <w:p w14:paraId="109AB95E">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6、应选单位需进行矿山现场勘探，实地沟通、了解矿区工作场地的实际状况，以保证报价的准确性和可信性；</w:t>
      </w:r>
    </w:p>
    <w:p w14:paraId="506414B9">
      <w:pPr>
        <w:snapToGrid w:val="0"/>
        <w:spacing w:line="360" w:lineRule="auto"/>
        <w:ind w:firstLine="440" w:firstLineChars="200"/>
        <w:rPr>
          <w:rFonts w:hint="eastAsia" w:ascii="仿宋" w:hAnsi="仿宋" w:eastAsia="仿宋" w:cs="仿宋"/>
          <w:b/>
          <w:bCs/>
          <w:color w:val="FF0000"/>
          <w:kern w:val="0"/>
          <w:sz w:val="22"/>
          <w:szCs w:val="22"/>
          <w:lang w:eastAsia="zh-CN"/>
        </w:rPr>
      </w:pPr>
      <w:r>
        <w:rPr>
          <w:rFonts w:hint="eastAsia" w:ascii="仿宋" w:hAnsi="仿宋" w:eastAsia="仿宋" w:cs="仿宋"/>
          <w:color w:val="FF0000"/>
          <w:kern w:val="0"/>
          <w:sz w:val="22"/>
          <w:szCs w:val="22"/>
        </w:rPr>
        <w:t>7、</w:t>
      </w:r>
      <w:r>
        <w:rPr>
          <w:rFonts w:hint="eastAsia" w:ascii="仿宋" w:hAnsi="仿宋" w:eastAsia="仿宋" w:cs="仿宋"/>
          <w:b/>
          <w:bCs/>
          <w:color w:val="FF0000"/>
          <w:kern w:val="0"/>
          <w:sz w:val="22"/>
          <w:szCs w:val="22"/>
        </w:rPr>
        <w:t>为了对应选单位的应选行为产生约束作用，保证招选业务的严肃性。避免因应选单位在投标有效期内随意撤回、撤销应选或中标后不能提交履约保证金和签署合同、或合同无法顺利履行等行为而给招选方造成损失。</w:t>
      </w:r>
      <w:r>
        <w:rPr>
          <w:rFonts w:hint="eastAsia" w:ascii="仿宋" w:hAnsi="仿宋" w:eastAsia="仿宋" w:cs="仿宋"/>
          <w:b/>
          <w:bCs/>
          <w:color w:val="FF0000"/>
          <w:kern w:val="0"/>
          <w:sz w:val="22"/>
          <w:szCs w:val="22"/>
          <w:highlight w:val="yellow"/>
          <w:lang w:eastAsia="zh-CN"/>
        </w:rPr>
        <w:t>本次招选收取招选保证金</w:t>
      </w:r>
      <w:r>
        <w:rPr>
          <w:rFonts w:hint="eastAsia" w:ascii="仿宋" w:hAnsi="仿宋" w:eastAsia="仿宋" w:cs="仿宋"/>
          <w:b/>
          <w:bCs/>
          <w:color w:val="FF0000"/>
          <w:kern w:val="0"/>
          <w:sz w:val="22"/>
          <w:szCs w:val="22"/>
          <w:highlight w:val="yellow"/>
          <w:lang w:val="en-US" w:eastAsia="zh-CN"/>
        </w:rPr>
        <w:t>1</w:t>
      </w:r>
      <w:r>
        <w:rPr>
          <w:rFonts w:hint="eastAsia" w:ascii="仿宋" w:hAnsi="仿宋" w:eastAsia="仿宋" w:cs="仿宋"/>
          <w:b/>
          <w:bCs/>
          <w:color w:val="FF0000"/>
          <w:kern w:val="0"/>
          <w:sz w:val="22"/>
          <w:szCs w:val="22"/>
          <w:highlight w:val="yellow"/>
          <w:lang w:eastAsia="zh-CN"/>
        </w:rPr>
        <w:t>（</w:t>
      </w:r>
      <w:r>
        <w:rPr>
          <w:rFonts w:hint="eastAsia" w:ascii="仿宋" w:hAnsi="仿宋" w:eastAsia="仿宋" w:cs="仿宋"/>
          <w:b/>
          <w:bCs/>
          <w:color w:val="FF0000"/>
          <w:kern w:val="0"/>
          <w:sz w:val="22"/>
          <w:szCs w:val="22"/>
          <w:highlight w:val="yellow"/>
          <w:lang w:val="en-US" w:eastAsia="zh-CN"/>
        </w:rPr>
        <w:t>壹</w:t>
      </w:r>
      <w:r>
        <w:rPr>
          <w:rFonts w:hint="eastAsia" w:ascii="仿宋" w:hAnsi="仿宋" w:eastAsia="仿宋" w:cs="仿宋"/>
          <w:b/>
          <w:bCs/>
          <w:color w:val="FF0000"/>
          <w:kern w:val="0"/>
          <w:sz w:val="22"/>
          <w:szCs w:val="22"/>
          <w:highlight w:val="yellow"/>
          <w:lang w:eastAsia="zh-CN"/>
        </w:rPr>
        <w:t>）万元（现金），投标单位需在</w:t>
      </w:r>
      <w:r>
        <w:rPr>
          <w:rFonts w:hint="eastAsia" w:ascii="仿宋" w:hAnsi="仿宋" w:eastAsia="仿宋" w:cs="仿宋"/>
          <w:b/>
          <w:bCs/>
          <w:color w:val="FF0000"/>
          <w:kern w:val="0"/>
          <w:sz w:val="22"/>
          <w:szCs w:val="22"/>
          <w:highlight w:val="yellow"/>
          <w:lang w:val="en-US" w:eastAsia="zh-CN"/>
        </w:rPr>
        <w:t>应选</w:t>
      </w:r>
      <w:r>
        <w:rPr>
          <w:rFonts w:hint="eastAsia" w:ascii="仿宋" w:hAnsi="仿宋" w:eastAsia="仿宋" w:cs="仿宋"/>
          <w:b/>
          <w:bCs/>
          <w:color w:val="FF0000"/>
          <w:kern w:val="0"/>
          <w:sz w:val="22"/>
          <w:szCs w:val="22"/>
          <w:highlight w:val="yellow"/>
          <w:lang w:eastAsia="zh-CN"/>
        </w:rPr>
        <w:t>前转入</w:t>
      </w:r>
      <w:r>
        <w:rPr>
          <w:rFonts w:hint="eastAsia" w:ascii="仿宋" w:hAnsi="仿宋" w:eastAsia="仿宋" w:cs="仿宋"/>
          <w:b/>
          <w:bCs/>
          <w:color w:val="FF0000"/>
          <w:kern w:val="0"/>
          <w:sz w:val="22"/>
          <w:szCs w:val="22"/>
          <w:highlight w:val="yellow"/>
          <w:lang w:val="en-US" w:eastAsia="zh-CN"/>
        </w:rPr>
        <w:t>指定账户</w:t>
      </w:r>
      <w:r>
        <w:rPr>
          <w:rFonts w:hint="eastAsia" w:ascii="仿宋" w:hAnsi="仿宋" w:eastAsia="仿宋" w:cs="仿宋"/>
          <w:b/>
          <w:bCs/>
          <w:color w:val="FF0000"/>
          <w:kern w:val="0"/>
          <w:sz w:val="22"/>
          <w:szCs w:val="22"/>
          <w:lang w:eastAsia="zh-CN"/>
        </w:rPr>
        <w:t>，未中标</w:t>
      </w:r>
      <w:r>
        <w:rPr>
          <w:rFonts w:hint="eastAsia" w:ascii="仿宋" w:hAnsi="仿宋" w:eastAsia="仿宋" w:cs="仿宋"/>
          <w:b/>
          <w:bCs/>
          <w:color w:val="FF0000"/>
          <w:kern w:val="0"/>
          <w:sz w:val="22"/>
          <w:szCs w:val="22"/>
          <w:lang w:val="en-US" w:eastAsia="zh-CN"/>
        </w:rPr>
        <w:t>单位</w:t>
      </w:r>
      <w:r>
        <w:rPr>
          <w:rFonts w:hint="eastAsia" w:ascii="仿宋" w:hAnsi="仿宋" w:eastAsia="仿宋" w:cs="仿宋"/>
          <w:b/>
          <w:bCs/>
          <w:color w:val="FF0000"/>
          <w:kern w:val="0"/>
          <w:sz w:val="22"/>
          <w:szCs w:val="22"/>
          <w:lang w:eastAsia="zh-CN"/>
        </w:rPr>
        <w:t>保证金次月予以退回。因应选单位投诉或质疑可能造成重新评标的，在投诉或质疑处理完后30日内全额退还，但应提前告知应选单位推迟退还投标保证金的原因)。保证金转账单作为</w:t>
      </w:r>
      <w:r>
        <w:rPr>
          <w:rFonts w:hint="eastAsia" w:ascii="仿宋" w:hAnsi="仿宋" w:eastAsia="仿宋" w:cs="仿宋"/>
          <w:b/>
          <w:bCs/>
          <w:color w:val="FF0000"/>
          <w:kern w:val="0"/>
          <w:sz w:val="22"/>
          <w:szCs w:val="22"/>
          <w:lang w:val="en-US" w:eastAsia="zh-CN"/>
        </w:rPr>
        <w:t>应选文件附件之一</w:t>
      </w:r>
      <w:r>
        <w:rPr>
          <w:rFonts w:hint="eastAsia" w:ascii="仿宋" w:hAnsi="仿宋" w:eastAsia="仿宋" w:cs="仿宋"/>
          <w:b/>
          <w:bCs/>
          <w:color w:val="FF0000"/>
          <w:kern w:val="0"/>
          <w:sz w:val="22"/>
          <w:szCs w:val="22"/>
          <w:lang w:eastAsia="zh-CN"/>
        </w:rPr>
        <w:t>，未缴纳保证金视为无效投标，</w:t>
      </w:r>
      <w:r>
        <w:rPr>
          <w:rFonts w:hint="eastAsia" w:ascii="仿宋" w:hAnsi="仿宋" w:eastAsia="仿宋" w:cs="仿宋"/>
          <w:b/>
          <w:bCs/>
          <w:color w:val="FF0000"/>
          <w:kern w:val="0"/>
          <w:sz w:val="22"/>
          <w:szCs w:val="22"/>
          <w:lang w:val="en-US" w:eastAsia="zh-CN"/>
        </w:rPr>
        <w:t>中标单位投标保证金转为合同履约保证金</w:t>
      </w:r>
      <w:r>
        <w:rPr>
          <w:rFonts w:hint="eastAsia" w:ascii="仿宋" w:hAnsi="仿宋" w:eastAsia="仿宋" w:cs="仿宋"/>
          <w:b/>
          <w:bCs/>
          <w:color w:val="FF0000"/>
          <w:kern w:val="0"/>
          <w:sz w:val="22"/>
          <w:szCs w:val="22"/>
          <w:lang w:eastAsia="zh-CN"/>
        </w:rPr>
        <w:t>。</w:t>
      </w:r>
    </w:p>
    <w:p w14:paraId="3329ED3E">
      <w:pPr>
        <w:snapToGrid w:val="0"/>
        <w:spacing w:line="360" w:lineRule="auto"/>
        <w:ind w:firstLine="442" w:firstLineChars="200"/>
        <w:rPr>
          <w:rFonts w:hint="eastAsia" w:ascii="仿宋" w:hAnsi="仿宋" w:eastAsia="仿宋" w:cs="仿宋"/>
          <w:b/>
          <w:bCs/>
          <w:color w:val="FF0000"/>
          <w:kern w:val="0"/>
          <w:sz w:val="22"/>
          <w:szCs w:val="22"/>
          <w:highlight w:val="none"/>
          <w:lang w:eastAsia="zh-CN"/>
        </w:rPr>
      </w:pPr>
      <w:r>
        <w:rPr>
          <w:rFonts w:hint="eastAsia" w:ascii="仿宋" w:hAnsi="仿宋" w:eastAsia="仿宋" w:cs="仿宋"/>
          <w:b/>
          <w:bCs/>
          <w:color w:val="FF0000"/>
          <w:kern w:val="0"/>
          <w:sz w:val="22"/>
          <w:szCs w:val="22"/>
        </w:rPr>
        <w:t>公司名称：</w:t>
      </w:r>
      <w:r>
        <w:rPr>
          <w:rFonts w:hint="eastAsia" w:ascii="仿宋" w:hAnsi="仿宋" w:eastAsia="仿宋" w:cs="仿宋"/>
          <w:b/>
          <w:bCs/>
          <w:color w:val="FF0000"/>
          <w:kern w:val="0"/>
          <w:sz w:val="22"/>
          <w:szCs w:val="22"/>
          <w:highlight w:val="none"/>
          <w:lang w:eastAsia="zh-CN"/>
        </w:rPr>
        <w:t>华新水泥(</w:t>
      </w:r>
      <w:r>
        <w:rPr>
          <w:rFonts w:hint="eastAsia" w:ascii="仿宋" w:hAnsi="仿宋" w:eastAsia="仿宋" w:cs="仿宋"/>
          <w:b/>
          <w:bCs/>
          <w:color w:val="FF0000"/>
          <w:kern w:val="0"/>
          <w:sz w:val="22"/>
          <w:szCs w:val="22"/>
          <w:highlight w:val="none"/>
          <w:lang w:val="en-US" w:eastAsia="zh-CN"/>
        </w:rPr>
        <w:t>襄阳</w:t>
      </w:r>
      <w:r>
        <w:rPr>
          <w:rFonts w:hint="eastAsia" w:ascii="仿宋" w:hAnsi="仿宋" w:eastAsia="仿宋" w:cs="仿宋"/>
          <w:b/>
          <w:bCs/>
          <w:color w:val="FF0000"/>
          <w:kern w:val="0"/>
          <w:sz w:val="22"/>
          <w:szCs w:val="22"/>
          <w:highlight w:val="none"/>
          <w:lang w:eastAsia="zh-CN"/>
        </w:rPr>
        <w:t>)有限公司</w:t>
      </w:r>
    </w:p>
    <w:p w14:paraId="19E28BF7">
      <w:pPr>
        <w:snapToGrid w:val="0"/>
        <w:ind w:firstLine="442" w:firstLineChars="200"/>
        <w:rPr>
          <w:rFonts w:hint="eastAsia" w:ascii="仿宋" w:hAnsi="仿宋" w:eastAsia="仿宋" w:cs="仿宋"/>
          <w:b/>
          <w:bCs/>
          <w:color w:val="FF0000"/>
          <w:kern w:val="0"/>
          <w:sz w:val="22"/>
          <w:szCs w:val="22"/>
          <w:highlight w:val="none"/>
        </w:rPr>
      </w:pPr>
      <w:r>
        <w:rPr>
          <w:rFonts w:hint="eastAsia" w:ascii="仿宋" w:hAnsi="仿宋" w:eastAsia="仿宋" w:cs="仿宋"/>
          <w:b/>
          <w:bCs/>
          <w:color w:val="FF0000"/>
          <w:kern w:val="0"/>
          <w:sz w:val="22"/>
          <w:szCs w:val="22"/>
          <w:highlight w:val="none"/>
        </w:rPr>
        <w:t>银行账户：农行南漳县支行</w:t>
      </w:r>
    </w:p>
    <w:p w14:paraId="364A811A">
      <w:pPr>
        <w:snapToGrid w:val="0"/>
        <w:spacing w:line="360" w:lineRule="auto"/>
        <w:ind w:firstLine="442" w:firstLineChars="200"/>
        <w:rPr>
          <w:rFonts w:hint="eastAsia" w:ascii="仿宋" w:hAnsi="仿宋" w:eastAsia="仿宋" w:cs="仿宋"/>
          <w:sz w:val="22"/>
          <w:szCs w:val="22"/>
        </w:rPr>
      </w:pPr>
      <w:r>
        <w:rPr>
          <w:rFonts w:hint="eastAsia" w:ascii="仿宋" w:hAnsi="仿宋" w:eastAsia="仿宋" w:cs="仿宋"/>
          <w:b/>
          <w:bCs/>
          <w:color w:val="FF0000"/>
          <w:kern w:val="0"/>
          <w:sz w:val="22"/>
          <w:szCs w:val="22"/>
          <w:highlight w:val="none"/>
        </w:rPr>
        <w:t>银行账号：17435201040003484</w:t>
      </w:r>
    </w:p>
    <w:p w14:paraId="7AFD6DED">
      <w:pPr>
        <w:snapToGrid w:val="0"/>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 xml:space="preserve">    </w:t>
      </w:r>
      <w:r>
        <w:rPr>
          <w:rFonts w:hint="eastAsia" w:ascii="仿宋" w:hAnsi="仿宋" w:eastAsia="仿宋" w:cs="仿宋"/>
          <w:b/>
          <w:bCs/>
          <w:color w:val="FF0000"/>
          <w:sz w:val="22"/>
          <w:szCs w:val="22"/>
          <w:lang w:val="en-US" w:eastAsia="zh-CN"/>
        </w:rPr>
        <w:t>合同履约保证金：中选单位投标保证金转为合同履约保证金，作为按时进场及开工的保证，工程实质性完工，验收合格并提交工程竣工验收资料（含签证资料）及发包方要求报告资料后30日内退回。为了保证项目的顺利实施，华新水泥(宜昌)有限公司有权根据施工计划关键节点设置履约保证金扣罚条款。</w:t>
      </w:r>
    </w:p>
    <w:p w14:paraId="0FD1A062">
      <w:pPr>
        <w:snapToGrid w:val="0"/>
        <w:spacing w:line="360" w:lineRule="auto"/>
        <w:rPr>
          <w:rFonts w:hint="eastAsia" w:ascii="仿宋" w:hAnsi="仿宋" w:eastAsia="仿宋" w:cs="仿宋"/>
          <w:b/>
          <w:kern w:val="0"/>
          <w:sz w:val="22"/>
          <w:szCs w:val="22"/>
        </w:rPr>
      </w:pPr>
      <w:r>
        <w:rPr>
          <w:rFonts w:hint="eastAsia" w:ascii="仿宋" w:hAnsi="仿宋" w:eastAsia="仿宋" w:cs="仿宋"/>
          <w:b/>
          <w:kern w:val="0"/>
          <w:sz w:val="22"/>
          <w:szCs w:val="22"/>
          <w:lang w:val="en-US" w:eastAsia="zh-CN"/>
        </w:rPr>
        <w:t>五</w:t>
      </w:r>
      <w:r>
        <w:rPr>
          <w:rFonts w:hint="eastAsia" w:ascii="仿宋" w:hAnsi="仿宋" w:eastAsia="仿宋" w:cs="仿宋"/>
          <w:b/>
          <w:kern w:val="0"/>
          <w:sz w:val="22"/>
          <w:szCs w:val="22"/>
        </w:rPr>
        <w:t>、评审原则</w:t>
      </w:r>
    </w:p>
    <w:p w14:paraId="6BBAA6A0">
      <w:pPr>
        <w:pStyle w:val="53"/>
        <w:numPr>
          <w:ilvl w:val="0"/>
          <w:numId w:val="6"/>
        </w:numPr>
        <w:snapToGrid w:val="0"/>
        <w:spacing w:line="360" w:lineRule="auto"/>
        <w:ind w:firstLineChars="0"/>
        <w:rPr>
          <w:rFonts w:hint="eastAsia" w:ascii="仿宋" w:hAnsi="仿宋" w:eastAsia="仿宋" w:cs="仿宋"/>
          <w:kern w:val="0"/>
          <w:sz w:val="22"/>
          <w:szCs w:val="22"/>
        </w:rPr>
      </w:pPr>
      <w:r>
        <w:rPr>
          <w:rFonts w:hint="eastAsia" w:ascii="仿宋" w:hAnsi="仿宋" w:eastAsia="仿宋" w:cs="仿宋"/>
          <w:kern w:val="0"/>
          <w:sz w:val="22"/>
          <w:szCs w:val="22"/>
        </w:rPr>
        <w:t>本项目采取招选（技术方案合理性确认）+竞拍（价格竞争）结合的方式确认最终中选单位。</w:t>
      </w:r>
    </w:p>
    <w:p w14:paraId="2B2F8DE8">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 xml:space="preserve">2、招选阶段由评审委员会进行技术标的合理性确认。除安全制度是否符合国家地方法规外，还需审核生产组织、施工方案、人员及设备配置等技术资料是否符合工厂的实际需求。 </w:t>
      </w:r>
    </w:p>
    <w:p w14:paraId="4E86E1A4">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3、竞拍采取邀标的形式，邀请招选中技术评审合格的供应商进行竞价。同时，如技术方案的差异存在对服务价格的影响时，招选单位可发出澄清公告，统一其标准，以示公正性。</w:t>
      </w:r>
    </w:p>
    <w:p w14:paraId="63CAEC78">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4、参与竞拍者应关注竞拍时长、出价次数等限制条件，避免对竞价过程产生不可逆转的影响。</w:t>
      </w:r>
    </w:p>
    <w:p w14:paraId="14C8B11A">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5、</w:t>
      </w:r>
      <w:r>
        <w:rPr>
          <w:rFonts w:hint="eastAsia" w:ascii="仿宋" w:hAnsi="仿宋" w:eastAsia="仿宋" w:cs="仿宋"/>
          <w:b/>
          <w:bCs/>
          <w:color w:val="FF0000"/>
          <w:kern w:val="0"/>
          <w:sz w:val="22"/>
          <w:szCs w:val="22"/>
        </w:rPr>
        <w:t>竞拍过程中，各应选单位所报价格为项目总价</w:t>
      </w:r>
      <w:r>
        <w:rPr>
          <w:rFonts w:hint="eastAsia" w:ascii="仿宋" w:hAnsi="仿宋" w:eastAsia="仿宋" w:cs="仿宋"/>
          <w:kern w:val="0"/>
          <w:sz w:val="22"/>
          <w:szCs w:val="22"/>
        </w:rPr>
        <w:t>，如遇多个服务项目时，将价格差异均摊到各个</w:t>
      </w:r>
      <w:r>
        <w:rPr>
          <w:rFonts w:hint="eastAsia" w:ascii="仿宋" w:hAnsi="仿宋" w:eastAsia="仿宋" w:cs="仿宋"/>
          <w:kern w:val="0"/>
          <w:sz w:val="22"/>
          <w:szCs w:val="22"/>
          <w:lang w:val="en-US" w:eastAsia="zh-CN"/>
        </w:rPr>
        <w:t>含税</w:t>
      </w:r>
      <w:r>
        <w:rPr>
          <w:rFonts w:hint="eastAsia" w:ascii="仿宋" w:hAnsi="仿宋" w:eastAsia="仿宋" w:cs="仿宋"/>
          <w:kern w:val="0"/>
          <w:sz w:val="22"/>
          <w:szCs w:val="22"/>
        </w:rPr>
        <w:t>分项</w:t>
      </w:r>
      <w:r>
        <w:rPr>
          <w:rFonts w:hint="eastAsia" w:ascii="仿宋" w:hAnsi="仿宋" w:eastAsia="仿宋" w:cs="仿宋"/>
          <w:kern w:val="0"/>
          <w:sz w:val="22"/>
          <w:szCs w:val="22"/>
          <w:lang w:val="en-US" w:eastAsia="zh-CN"/>
        </w:rPr>
        <w:t>单价</w:t>
      </w:r>
      <w:r>
        <w:rPr>
          <w:rFonts w:hint="eastAsia" w:ascii="仿宋" w:hAnsi="仿宋" w:eastAsia="仿宋" w:cs="仿宋"/>
          <w:kern w:val="0"/>
          <w:sz w:val="22"/>
          <w:szCs w:val="22"/>
        </w:rPr>
        <w:t>当中，示例如下：</w:t>
      </w:r>
    </w:p>
    <w:tbl>
      <w:tblPr>
        <w:tblStyle w:val="16"/>
        <w:tblW w:w="9659"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54"/>
        <w:gridCol w:w="560"/>
        <w:gridCol w:w="978"/>
        <w:gridCol w:w="2696"/>
        <w:gridCol w:w="1689"/>
        <w:gridCol w:w="2282"/>
      </w:tblGrid>
      <w:tr w14:paraId="30AE5D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1454" w:type="dxa"/>
            <w:tcBorders>
              <w:top w:val="single" w:color="000000" w:sz="8" w:space="0"/>
              <w:left w:val="single" w:color="000000" w:sz="8" w:space="0"/>
              <w:bottom w:val="single" w:color="000000" w:sz="8" w:space="0"/>
              <w:right w:val="single" w:color="000000" w:sz="8" w:space="0"/>
            </w:tcBorders>
            <w:shd w:val="clear" w:color="auto" w:fill="D9D9D9"/>
            <w:noWrap/>
            <w:vAlign w:val="center"/>
          </w:tcPr>
          <w:p w14:paraId="610FB1C6">
            <w:pPr>
              <w:snapToGrid w:val="0"/>
              <w:spacing w:line="360" w:lineRule="auto"/>
              <w:rPr>
                <w:rFonts w:hint="eastAsia" w:ascii="仿宋" w:hAnsi="仿宋" w:eastAsia="仿宋" w:cs="仿宋"/>
                <w:kern w:val="0"/>
                <w:sz w:val="22"/>
                <w:szCs w:val="22"/>
              </w:rPr>
            </w:pPr>
          </w:p>
        </w:tc>
        <w:tc>
          <w:tcPr>
            <w:tcW w:w="560" w:type="dxa"/>
            <w:tcBorders>
              <w:top w:val="single" w:color="000000" w:sz="8" w:space="0"/>
              <w:left w:val="nil"/>
              <w:bottom w:val="single" w:color="000000" w:sz="8" w:space="0"/>
              <w:right w:val="single" w:color="000000" w:sz="8" w:space="0"/>
            </w:tcBorders>
            <w:shd w:val="clear" w:color="auto" w:fill="D9D9D9"/>
            <w:noWrap/>
            <w:vAlign w:val="center"/>
          </w:tcPr>
          <w:p w14:paraId="26134CDB">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单位</w:t>
            </w:r>
          </w:p>
        </w:tc>
        <w:tc>
          <w:tcPr>
            <w:tcW w:w="978" w:type="dxa"/>
            <w:tcBorders>
              <w:top w:val="single" w:color="000000" w:sz="8" w:space="0"/>
              <w:left w:val="nil"/>
              <w:bottom w:val="single" w:color="000000" w:sz="8" w:space="0"/>
              <w:right w:val="single" w:color="000000" w:sz="8" w:space="0"/>
            </w:tcBorders>
            <w:shd w:val="clear" w:color="auto" w:fill="D9D9D9"/>
            <w:noWrap/>
            <w:vAlign w:val="center"/>
          </w:tcPr>
          <w:p w14:paraId="618A9382">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预估年产量</w:t>
            </w:r>
          </w:p>
        </w:tc>
        <w:tc>
          <w:tcPr>
            <w:tcW w:w="2696" w:type="dxa"/>
            <w:tcBorders>
              <w:top w:val="single" w:color="000000" w:sz="8" w:space="0"/>
              <w:left w:val="nil"/>
              <w:bottom w:val="single" w:color="000000" w:sz="8" w:space="0"/>
              <w:right w:val="single" w:color="000000" w:sz="8" w:space="0"/>
            </w:tcBorders>
            <w:shd w:val="clear" w:color="auto" w:fill="D9D9D9"/>
            <w:noWrap/>
            <w:vAlign w:val="center"/>
          </w:tcPr>
          <w:p w14:paraId="6B7E0BD9">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分项标的单价</w:t>
            </w:r>
          </w:p>
        </w:tc>
        <w:tc>
          <w:tcPr>
            <w:tcW w:w="1689" w:type="dxa"/>
            <w:tcBorders>
              <w:top w:val="single" w:color="000000" w:sz="8" w:space="0"/>
              <w:left w:val="nil"/>
              <w:bottom w:val="single" w:color="000000" w:sz="8" w:space="0"/>
              <w:right w:val="single" w:color="000000" w:sz="8" w:space="0"/>
            </w:tcBorders>
            <w:shd w:val="clear" w:color="auto" w:fill="D9D9D9"/>
            <w:noWrap/>
            <w:vAlign w:val="center"/>
          </w:tcPr>
          <w:p w14:paraId="22993B6F">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供应商最低报价总价</w:t>
            </w:r>
          </w:p>
        </w:tc>
        <w:tc>
          <w:tcPr>
            <w:tcW w:w="2282" w:type="dxa"/>
            <w:tcBorders>
              <w:top w:val="single" w:color="000000" w:sz="8" w:space="0"/>
              <w:left w:val="nil"/>
              <w:bottom w:val="single" w:color="000000" w:sz="8" w:space="0"/>
              <w:right w:val="single" w:color="000000" w:sz="8" w:space="0"/>
            </w:tcBorders>
            <w:shd w:val="clear" w:color="auto" w:fill="D9D9D9"/>
            <w:noWrap/>
            <w:vAlign w:val="center"/>
          </w:tcPr>
          <w:p w14:paraId="5A06FC79">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最终合同价格（分项单价）</w:t>
            </w:r>
          </w:p>
        </w:tc>
      </w:tr>
      <w:tr w14:paraId="24C11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1454" w:type="dxa"/>
            <w:tcBorders>
              <w:top w:val="nil"/>
              <w:left w:val="single" w:color="000000" w:sz="8" w:space="0"/>
              <w:bottom w:val="single" w:color="000000" w:sz="8" w:space="0"/>
              <w:right w:val="single" w:color="000000" w:sz="8" w:space="0"/>
            </w:tcBorders>
            <w:shd w:val="clear" w:color="auto" w:fill="auto"/>
            <w:noWrap/>
            <w:vAlign w:val="center"/>
          </w:tcPr>
          <w:p w14:paraId="7B15A948">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开采全外包</w:t>
            </w:r>
          </w:p>
        </w:tc>
        <w:tc>
          <w:tcPr>
            <w:tcW w:w="560" w:type="dxa"/>
            <w:tcBorders>
              <w:top w:val="nil"/>
              <w:left w:val="nil"/>
              <w:bottom w:val="single" w:color="000000" w:sz="8" w:space="0"/>
              <w:right w:val="single" w:color="000000" w:sz="8" w:space="0"/>
            </w:tcBorders>
            <w:shd w:val="clear" w:color="auto" w:fill="auto"/>
            <w:noWrap/>
            <w:vAlign w:val="center"/>
          </w:tcPr>
          <w:p w14:paraId="2A958D89">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吨</w:t>
            </w:r>
          </w:p>
        </w:tc>
        <w:tc>
          <w:tcPr>
            <w:tcW w:w="978" w:type="dxa"/>
            <w:tcBorders>
              <w:top w:val="nil"/>
              <w:left w:val="nil"/>
              <w:bottom w:val="single" w:color="000000" w:sz="8" w:space="0"/>
              <w:right w:val="single" w:color="000000" w:sz="8" w:space="0"/>
            </w:tcBorders>
            <w:shd w:val="clear" w:color="auto" w:fill="auto"/>
            <w:noWrap/>
            <w:vAlign w:val="center"/>
          </w:tcPr>
          <w:p w14:paraId="4FAC2E5D">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1</w:t>
            </w:r>
          </w:p>
        </w:tc>
        <w:tc>
          <w:tcPr>
            <w:tcW w:w="2696" w:type="dxa"/>
            <w:tcBorders>
              <w:top w:val="nil"/>
              <w:left w:val="nil"/>
              <w:bottom w:val="single" w:color="000000" w:sz="8" w:space="0"/>
              <w:right w:val="single" w:color="000000" w:sz="8" w:space="0"/>
            </w:tcBorders>
            <w:shd w:val="clear" w:color="auto" w:fill="auto"/>
            <w:noWrap/>
            <w:vAlign w:val="center"/>
          </w:tcPr>
          <w:p w14:paraId="0AB832EE">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6.8</w:t>
            </w:r>
          </w:p>
        </w:tc>
        <w:tc>
          <w:tcPr>
            <w:tcW w:w="1689" w:type="dxa"/>
            <w:tcBorders>
              <w:top w:val="nil"/>
              <w:left w:val="nil"/>
              <w:bottom w:val="single" w:color="000000" w:sz="8" w:space="0"/>
              <w:right w:val="single" w:color="000000" w:sz="8" w:space="0"/>
            </w:tcBorders>
            <w:shd w:val="clear" w:color="auto" w:fill="auto"/>
            <w:noWrap/>
            <w:vAlign w:val="center"/>
          </w:tcPr>
          <w:p w14:paraId="0AAA1C40">
            <w:pPr>
              <w:snapToGrid w:val="0"/>
              <w:spacing w:line="360" w:lineRule="auto"/>
              <w:rPr>
                <w:rFonts w:hint="eastAsia" w:ascii="仿宋" w:hAnsi="仿宋" w:eastAsia="仿宋" w:cs="仿宋"/>
                <w:kern w:val="0"/>
                <w:sz w:val="22"/>
                <w:szCs w:val="22"/>
              </w:rPr>
            </w:pPr>
          </w:p>
        </w:tc>
        <w:tc>
          <w:tcPr>
            <w:tcW w:w="2282" w:type="dxa"/>
            <w:tcBorders>
              <w:top w:val="nil"/>
              <w:left w:val="nil"/>
              <w:bottom w:val="single" w:color="000000" w:sz="8" w:space="0"/>
              <w:right w:val="single" w:color="000000" w:sz="8" w:space="0"/>
            </w:tcBorders>
            <w:shd w:val="clear" w:color="auto" w:fill="auto"/>
            <w:noWrap/>
            <w:vAlign w:val="center"/>
          </w:tcPr>
          <w:p w14:paraId="592C7D40">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6.12</w:t>
            </w:r>
          </w:p>
        </w:tc>
      </w:tr>
      <w:tr w14:paraId="1123A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trPr>
        <w:tc>
          <w:tcPr>
            <w:tcW w:w="1454" w:type="dxa"/>
            <w:tcBorders>
              <w:top w:val="nil"/>
              <w:left w:val="single" w:color="000000" w:sz="8" w:space="0"/>
              <w:bottom w:val="single" w:color="000000" w:sz="8" w:space="0"/>
              <w:right w:val="single" w:color="000000" w:sz="8" w:space="0"/>
            </w:tcBorders>
            <w:shd w:val="clear" w:color="auto" w:fill="auto"/>
            <w:noWrap/>
            <w:vAlign w:val="center"/>
          </w:tcPr>
          <w:p w14:paraId="57C07A46">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二次铲运</w:t>
            </w:r>
          </w:p>
        </w:tc>
        <w:tc>
          <w:tcPr>
            <w:tcW w:w="560" w:type="dxa"/>
            <w:tcBorders>
              <w:top w:val="nil"/>
              <w:left w:val="nil"/>
              <w:bottom w:val="single" w:color="000000" w:sz="8" w:space="0"/>
              <w:right w:val="single" w:color="000000" w:sz="8" w:space="0"/>
            </w:tcBorders>
            <w:shd w:val="clear" w:color="auto" w:fill="auto"/>
            <w:noWrap/>
            <w:vAlign w:val="center"/>
          </w:tcPr>
          <w:p w14:paraId="09994652">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吨</w:t>
            </w:r>
          </w:p>
        </w:tc>
        <w:tc>
          <w:tcPr>
            <w:tcW w:w="978" w:type="dxa"/>
            <w:tcBorders>
              <w:top w:val="nil"/>
              <w:left w:val="nil"/>
              <w:bottom w:val="single" w:color="000000" w:sz="8" w:space="0"/>
              <w:right w:val="single" w:color="000000" w:sz="8" w:space="0"/>
            </w:tcBorders>
            <w:shd w:val="clear" w:color="auto" w:fill="auto"/>
            <w:noWrap/>
            <w:vAlign w:val="center"/>
          </w:tcPr>
          <w:p w14:paraId="2392ABBE">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1</w:t>
            </w:r>
          </w:p>
        </w:tc>
        <w:tc>
          <w:tcPr>
            <w:tcW w:w="2696" w:type="dxa"/>
            <w:tcBorders>
              <w:top w:val="nil"/>
              <w:left w:val="nil"/>
              <w:bottom w:val="single" w:color="000000" w:sz="8" w:space="0"/>
              <w:right w:val="single" w:color="000000" w:sz="8" w:space="0"/>
            </w:tcBorders>
            <w:shd w:val="clear" w:color="auto" w:fill="auto"/>
            <w:noWrap/>
            <w:vAlign w:val="center"/>
          </w:tcPr>
          <w:p w14:paraId="1E2E1A3E">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3</w:t>
            </w:r>
          </w:p>
        </w:tc>
        <w:tc>
          <w:tcPr>
            <w:tcW w:w="1689" w:type="dxa"/>
            <w:tcBorders>
              <w:top w:val="nil"/>
              <w:left w:val="nil"/>
              <w:bottom w:val="single" w:color="000000" w:sz="8" w:space="0"/>
              <w:right w:val="single" w:color="000000" w:sz="8" w:space="0"/>
            </w:tcBorders>
            <w:shd w:val="clear" w:color="auto" w:fill="auto"/>
            <w:noWrap/>
            <w:vAlign w:val="center"/>
          </w:tcPr>
          <w:p w14:paraId="17584595">
            <w:pPr>
              <w:snapToGrid w:val="0"/>
              <w:spacing w:line="360" w:lineRule="auto"/>
              <w:rPr>
                <w:rFonts w:hint="eastAsia" w:ascii="仿宋" w:hAnsi="仿宋" w:eastAsia="仿宋" w:cs="仿宋"/>
                <w:kern w:val="0"/>
                <w:sz w:val="22"/>
                <w:szCs w:val="22"/>
              </w:rPr>
            </w:pPr>
          </w:p>
        </w:tc>
        <w:tc>
          <w:tcPr>
            <w:tcW w:w="2282" w:type="dxa"/>
            <w:tcBorders>
              <w:top w:val="nil"/>
              <w:left w:val="nil"/>
              <w:bottom w:val="single" w:color="000000" w:sz="8" w:space="0"/>
              <w:right w:val="single" w:color="000000" w:sz="8" w:space="0"/>
            </w:tcBorders>
            <w:shd w:val="clear" w:color="auto" w:fill="auto"/>
            <w:noWrap/>
            <w:vAlign w:val="center"/>
          </w:tcPr>
          <w:p w14:paraId="037B7C04">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2.7</w:t>
            </w:r>
          </w:p>
        </w:tc>
      </w:tr>
      <w:tr w14:paraId="5CD2A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1454" w:type="dxa"/>
            <w:tcBorders>
              <w:top w:val="nil"/>
              <w:left w:val="single" w:color="000000" w:sz="8" w:space="0"/>
              <w:bottom w:val="single" w:color="000000" w:sz="8" w:space="0"/>
              <w:right w:val="single" w:color="000000" w:sz="8" w:space="0"/>
            </w:tcBorders>
            <w:shd w:val="clear" w:color="auto" w:fill="auto"/>
            <w:noWrap/>
            <w:vAlign w:val="center"/>
          </w:tcPr>
          <w:p w14:paraId="659CE325">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土方剥离</w:t>
            </w:r>
          </w:p>
        </w:tc>
        <w:tc>
          <w:tcPr>
            <w:tcW w:w="560" w:type="dxa"/>
            <w:tcBorders>
              <w:top w:val="nil"/>
              <w:left w:val="nil"/>
              <w:bottom w:val="single" w:color="000000" w:sz="8" w:space="0"/>
              <w:right w:val="single" w:color="000000" w:sz="8" w:space="0"/>
            </w:tcBorders>
            <w:shd w:val="clear" w:color="auto" w:fill="auto"/>
            <w:noWrap/>
            <w:vAlign w:val="center"/>
          </w:tcPr>
          <w:p w14:paraId="79F2AB4B">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吨</w:t>
            </w:r>
          </w:p>
        </w:tc>
        <w:tc>
          <w:tcPr>
            <w:tcW w:w="978" w:type="dxa"/>
            <w:tcBorders>
              <w:top w:val="nil"/>
              <w:left w:val="nil"/>
              <w:bottom w:val="single" w:color="000000" w:sz="8" w:space="0"/>
              <w:right w:val="single" w:color="000000" w:sz="8" w:space="0"/>
            </w:tcBorders>
            <w:shd w:val="clear" w:color="auto" w:fill="auto"/>
            <w:noWrap/>
            <w:vAlign w:val="center"/>
          </w:tcPr>
          <w:p w14:paraId="1E92370F">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1</w:t>
            </w:r>
          </w:p>
        </w:tc>
        <w:tc>
          <w:tcPr>
            <w:tcW w:w="2696" w:type="dxa"/>
            <w:tcBorders>
              <w:top w:val="nil"/>
              <w:left w:val="nil"/>
              <w:bottom w:val="single" w:color="000000" w:sz="8" w:space="0"/>
              <w:right w:val="single" w:color="000000" w:sz="8" w:space="0"/>
            </w:tcBorders>
            <w:shd w:val="clear" w:color="auto" w:fill="auto"/>
            <w:noWrap/>
            <w:vAlign w:val="center"/>
          </w:tcPr>
          <w:p w14:paraId="03BD1A6C">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3.53</w:t>
            </w:r>
          </w:p>
        </w:tc>
        <w:tc>
          <w:tcPr>
            <w:tcW w:w="1689" w:type="dxa"/>
            <w:tcBorders>
              <w:top w:val="nil"/>
              <w:left w:val="nil"/>
              <w:bottom w:val="single" w:color="000000" w:sz="8" w:space="0"/>
              <w:right w:val="single" w:color="000000" w:sz="8" w:space="0"/>
            </w:tcBorders>
            <w:shd w:val="clear" w:color="auto" w:fill="auto"/>
            <w:noWrap/>
            <w:vAlign w:val="center"/>
          </w:tcPr>
          <w:p w14:paraId="486F9642">
            <w:pPr>
              <w:snapToGrid w:val="0"/>
              <w:spacing w:line="360" w:lineRule="auto"/>
              <w:rPr>
                <w:rFonts w:hint="eastAsia" w:ascii="仿宋" w:hAnsi="仿宋" w:eastAsia="仿宋" w:cs="仿宋"/>
                <w:kern w:val="0"/>
                <w:sz w:val="22"/>
                <w:szCs w:val="22"/>
              </w:rPr>
            </w:pPr>
          </w:p>
        </w:tc>
        <w:tc>
          <w:tcPr>
            <w:tcW w:w="2282" w:type="dxa"/>
            <w:tcBorders>
              <w:top w:val="nil"/>
              <w:left w:val="nil"/>
              <w:bottom w:val="single" w:color="000000" w:sz="8" w:space="0"/>
              <w:right w:val="single" w:color="000000" w:sz="8" w:space="0"/>
            </w:tcBorders>
            <w:shd w:val="clear" w:color="auto" w:fill="auto"/>
            <w:noWrap/>
            <w:vAlign w:val="center"/>
          </w:tcPr>
          <w:p w14:paraId="35EACD9F">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3.18</w:t>
            </w:r>
          </w:p>
        </w:tc>
      </w:tr>
      <w:tr w14:paraId="2E561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8" w:hRule="atLeast"/>
        </w:trPr>
        <w:tc>
          <w:tcPr>
            <w:tcW w:w="1454" w:type="dxa"/>
            <w:tcBorders>
              <w:top w:val="nil"/>
              <w:left w:val="single" w:color="000000" w:sz="8" w:space="0"/>
              <w:bottom w:val="single" w:color="000000" w:sz="8" w:space="0"/>
              <w:right w:val="single" w:color="000000" w:sz="8" w:space="0"/>
            </w:tcBorders>
            <w:shd w:val="clear" w:color="auto" w:fill="auto"/>
            <w:noWrap/>
            <w:vAlign w:val="center"/>
          </w:tcPr>
          <w:p w14:paraId="5948A4C3">
            <w:pPr>
              <w:snapToGrid w:val="0"/>
              <w:spacing w:line="360" w:lineRule="auto"/>
              <w:rPr>
                <w:rFonts w:hint="eastAsia" w:ascii="仿宋" w:hAnsi="仿宋" w:eastAsia="仿宋" w:cs="仿宋"/>
                <w:kern w:val="0"/>
                <w:sz w:val="22"/>
                <w:szCs w:val="22"/>
              </w:rPr>
            </w:pPr>
          </w:p>
        </w:tc>
        <w:tc>
          <w:tcPr>
            <w:tcW w:w="560" w:type="dxa"/>
            <w:tcBorders>
              <w:top w:val="nil"/>
              <w:left w:val="nil"/>
              <w:bottom w:val="single" w:color="000000" w:sz="8" w:space="0"/>
              <w:right w:val="single" w:color="000000" w:sz="8" w:space="0"/>
            </w:tcBorders>
            <w:shd w:val="clear" w:color="auto" w:fill="auto"/>
            <w:noWrap/>
            <w:vAlign w:val="center"/>
          </w:tcPr>
          <w:p w14:paraId="17BDEB34">
            <w:pPr>
              <w:snapToGrid w:val="0"/>
              <w:spacing w:line="360" w:lineRule="auto"/>
              <w:rPr>
                <w:rFonts w:hint="eastAsia" w:ascii="仿宋" w:hAnsi="仿宋" w:eastAsia="仿宋" w:cs="仿宋"/>
                <w:kern w:val="0"/>
                <w:sz w:val="22"/>
                <w:szCs w:val="22"/>
              </w:rPr>
            </w:pPr>
          </w:p>
        </w:tc>
        <w:tc>
          <w:tcPr>
            <w:tcW w:w="978" w:type="dxa"/>
            <w:tcBorders>
              <w:top w:val="nil"/>
              <w:left w:val="nil"/>
              <w:bottom w:val="single" w:color="000000" w:sz="8" w:space="0"/>
              <w:right w:val="single" w:color="000000" w:sz="8" w:space="0"/>
            </w:tcBorders>
            <w:shd w:val="clear" w:color="auto" w:fill="auto"/>
            <w:noWrap/>
            <w:vAlign w:val="center"/>
          </w:tcPr>
          <w:p w14:paraId="79FA59BB">
            <w:pPr>
              <w:snapToGrid w:val="0"/>
              <w:spacing w:line="360" w:lineRule="auto"/>
              <w:rPr>
                <w:rFonts w:hint="eastAsia" w:ascii="仿宋" w:hAnsi="仿宋" w:eastAsia="仿宋" w:cs="仿宋"/>
                <w:kern w:val="0"/>
                <w:sz w:val="22"/>
                <w:szCs w:val="22"/>
              </w:rPr>
            </w:pPr>
          </w:p>
        </w:tc>
        <w:tc>
          <w:tcPr>
            <w:tcW w:w="2696" w:type="dxa"/>
            <w:tcBorders>
              <w:top w:val="nil"/>
              <w:left w:val="nil"/>
              <w:bottom w:val="single" w:color="000000" w:sz="8" w:space="0"/>
              <w:right w:val="single" w:color="000000" w:sz="8" w:space="0"/>
            </w:tcBorders>
            <w:shd w:val="clear" w:color="auto" w:fill="auto"/>
            <w:noWrap/>
            <w:vAlign w:val="center"/>
          </w:tcPr>
          <w:p w14:paraId="3F54F2F2">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标的总价（含税）：13.33</w:t>
            </w:r>
          </w:p>
        </w:tc>
        <w:tc>
          <w:tcPr>
            <w:tcW w:w="1689" w:type="dxa"/>
            <w:tcBorders>
              <w:top w:val="nil"/>
              <w:left w:val="nil"/>
              <w:bottom w:val="single" w:color="000000" w:sz="8" w:space="0"/>
              <w:right w:val="single" w:color="000000" w:sz="8" w:space="0"/>
            </w:tcBorders>
            <w:shd w:val="clear" w:color="auto" w:fill="auto"/>
            <w:noWrap/>
            <w:vAlign w:val="center"/>
          </w:tcPr>
          <w:p w14:paraId="789F562E">
            <w:pPr>
              <w:snapToGrid w:val="0"/>
              <w:spacing w:line="360" w:lineRule="auto"/>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12</w:t>
            </w:r>
          </w:p>
        </w:tc>
        <w:tc>
          <w:tcPr>
            <w:tcW w:w="2282" w:type="dxa"/>
            <w:tcBorders>
              <w:top w:val="nil"/>
              <w:left w:val="nil"/>
              <w:bottom w:val="single" w:color="000000" w:sz="8" w:space="0"/>
              <w:right w:val="single" w:color="000000" w:sz="8" w:space="0"/>
            </w:tcBorders>
            <w:shd w:val="clear" w:color="auto" w:fill="auto"/>
            <w:noWrap/>
            <w:vAlign w:val="center"/>
          </w:tcPr>
          <w:p w14:paraId="1171894E">
            <w:pPr>
              <w:snapToGrid w:val="0"/>
              <w:spacing w:line="360" w:lineRule="auto"/>
              <w:rPr>
                <w:rFonts w:hint="eastAsia" w:ascii="仿宋" w:hAnsi="仿宋" w:eastAsia="仿宋" w:cs="仿宋"/>
                <w:kern w:val="0"/>
                <w:sz w:val="22"/>
                <w:szCs w:val="22"/>
              </w:rPr>
            </w:pPr>
          </w:p>
        </w:tc>
      </w:tr>
    </w:tbl>
    <w:p w14:paraId="1BA3AD7A">
      <w:pPr>
        <w:snapToGrid w:val="0"/>
        <w:spacing w:line="360" w:lineRule="auto"/>
        <w:ind w:firstLine="442" w:firstLineChars="200"/>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lang w:val="en-US" w:eastAsia="zh-CN"/>
        </w:rPr>
        <w:t>5.1</w:t>
      </w:r>
      <w:r>
        <w:rPr>
          <w:rFonts w:hint="eastAsia" w:ascii="仿宋" w:hAnsi="仿宋" w:eastAsia="仿宋" w:cs="仿宋"/>
          <w:b/>
          <w:bCs/>
          <w:color w:val="FF0000"/>
          <w:kern w:val="0"/>
          <w:sz w:val="22"/>
          <w:szCs w:val="22"/>
        </w:rPr>
        <w:t>反算过程：</w:t>
      </w:r>
      <w:r>
        <w:rPr>
          <w:rFonts w:hint="eastAsia" w:ascii="仿宋" w:hAnsi="仿宋" w:eastAsia="仿宋" w:cs="仿宋"/>
          <w:b/>
          <w:bCs/>
          <w:color w:val="FF0000"/>
          <w:kern w:val="0"/>
          <w:sz w:val="22"/>
          <w:szCs w:val="22"/>
          <w:lang w:val="en-US" w:eastAsia="zh-CN"/>
        </w:rPr>
        <w:t>供应商</w:t>
      </w:r>
      <w:r>
        <w:rPr>
          <w:rFonts w:hint="eastAsia" w:ascii="仿宋" w:hAnsi="仿宋" w:eastAsia="仿宋" w:cs="仿宋"/>
          <w:b/>
          <w:bCs/>
          <w:color w:val="FF0000"/>
          <w:kern w:val="0"/>
          <w:sz w:val="22"/>
          <w:szCs w:val="22"/>
        </w:rPr>
        <w:t>最</w:t>
      </w:r>
      <w:r>
        <w:rPr>
          <w:rFonts w:hint="eastAsia" w:ascii="仿宋" w:hAnsi="仿宋" w:eastAsia="仿宋" w:cs="仿宋"/>
          <w:b/>
          <w:bCs/>
          <w:color w:val="FF0000"/>
          <w:kern w:val="0"/>
          <w:sz w:val="22"/>
          <w:szCs w:val="22"/>
          <w:lang w:val="en-US" w:eastAsia="zh-CN"/>
        </w:rPr>
        <w:t>低报价</w:t>
      </w:r>
      <w:r>
        <w:rPr>
          <w:rFonts w:hint="eastAsia" w:ascii="仿宋" w:hAnsi="仿宋" w:eastAsia="仿宋" w:cs="仿宋"/>
          <w:b/>
          <w:bCs/>
          <w:color w:val="FF0000"/>
          <w:kern w:val="0"/>
          <w:sz w:val="22"/>
          <w:szCs w:val="22"/>
        </w:rPr>
        <w:t>总价（12元）/标的总价（13.33元）=90%；则所有行项目的</w:t>
      </w:r>
      <w:r>
        <w:rPr>
          <w:rFonts w:hint="eastAsia" w:ascii="仿宋" w:hAnsi="仿宋" w:eastAsia="仿宋" w:cs="仿宋"/>
          <w:b/>
          <w:bCs/>
          <w:color w:val="FF0000"/>
          <w:kern w:val="0"/>
          <w:sz w:val="22"/>
          <w:szCs w:val="22"/>
          <w:lang w:val="en-US" w:eastAsia="zh-CN"/>
        </w:rPr>
        <w:t>最终</w:t>
      </w:r>
      <w:r>
        <w:rPr>
          <w:rFonts w:hint="eastAsia" w:ascii="仿宋" w:hAnsi="仿宋" w:eastAsia="仿宋" w:cs="仿宋"/>
          <w:b/>
          <w:bCs/>
          <w:color w:val="FF0000"/>
          <w:kern w:val="0"/>
          <w:sz w:val="22"/>
          <w:szCs w:val="22"/>
        </w:rPr>
        <w:t>合同单价均为</w:t>
      </w:r>
      <w:r>
        <w:rPr>
          <w:rFonts w:hint="eastAsia" w:ascii="仿宋" w:hAnsi="仿宋" w:eastAsia="仿宋" w:cs="仿宋"/>
          <w:b/>
          <w:bCs/>
          <w:color w:val="FF0000"/>
          <w:kern w:val="0"/>
          <w:sz w:val="22"/>
          <w:szCs w:val="22"/>
          <w:lang w:val="en-US" w:eastAsia="zh-CN"/>
        </w:rPr>
        <w:t>分项</w:t>
      </w:r>
      <w:r>
        <w:rPr>
          <w:rFonts w:hint="eastAsia" w:ascii="仿宋" w:hAnsi="仿宋" w:eastAsia="仿宋" w:cs="仿宋"/>
          <w:b/>
          <w:bCs/>
          <w:color w:val="FF0000"/>
          <w:kern w:val="0"/>
          <w:sz w:val="22"/>
          <w:szCs w:val="22"/>
        </w:rPr>
        <w:t>标的单价×90%。</w:t>
      </w:r>
      <w:r>
        <w:rPr>
          <w:rFonts w:hint="eastAsia" w:ascii="仿宋" w:hAnsi="仿宋" w:eastAsia="仿宋" w:cs="仿宋"/>
          <w:b/>
          <w:bCs/>
          <w:color w:val="FF0000"/>
          <w:kern w:val="0"/>
          <w:sz w:val="22"/>
          <w:szCs w:val="22"/>
          <w:lang w:val="en-US" w:eastAsia="zh-CN"/>
        </w:rPr>
        <w:t>参与招选&amp;竞拍的</w:t>
      </w:r>
      <w:r>
        <w:rPr>
          <w:rFonts w:hint="eastAsia" w:ascii="仿宋" w:hAnsi="仿宋" w:eastAsia="仿宋" w:cs="仿宋"/>
          <w:b/>
          <w:bCs/>
          <w:color w:val="FF0000"/>
          <w:kern w:val="0"/>
          <w:sz w:val="22"/>
          <w:szCs w:val="22"/>
        </w:rPr>
        <w:t>单位需无条件执行该原则，如拒不履行，招选单位有权没收其投标保证金，情节严重时可给予额外的处罚。</w:t>
      </w:r>
    </w:p>
    <w:p w14:paraId="26F61F90">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5.2</w:t>
      </w:r>
      <w:r>
        <w:rPr>
          <w:rFonts w:hint="eastAsia" w:ascii="仿宋" w:hAnsi="仿宋" w:eastAsia="仿宋" w:cs="仿宋"/>
          <w:kern w:val="0"/>
          <w:sz w:val="22"/>
          <w:szCs w:val="22"/>
        </w:rPr>
        <w:t>竞拍结束后，报价供应商需在1小时内确认最终价格，以便后续工作开展。</w:t>
      </w:r>
    </w:p>
    <w:p w14:paraId="6DCDB8FF">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lang w:val="en-US" w:eastAsia="zh-CN"/>
        </w:rPr>
        <w:t>5.3</w:t>
      </w:r>
      <w:r>
        <w:rPr>
          <w:rFonts w:hint="eastAsia" w:ascii="仿宋" w:hAnsi="仿宋" w:eastAsia="仿宋" w:cs="仿宋"/>
          <w:kern w:val="0"/>
          <w:sz w:val="22"/>
          <w:szCs w:val="22"/>
        </w:rPr>
        <w:t>原则上不限制应选供应商的设备能源类型，其运营成本自行负责。</w:t>
      </w:r>
    </w:p>
    <w:p w14:paraId="647F0B3F">
      <w:pPr>
        <w:snapToGrid w:val="0"/>
        <w:rPr>
          <w:rFonts w:hint="eastAsia" w:ascii="仿宋" w:hAnsi="仿宋" w:eastAsia="仿宋" w:cs="仿宋"/>
          <w:kern w:val="0"/>
          <w:sz w:val="22"/>
          <w:szCs w:val="22"/>
        </w:rPr>
      </w:pPr>
    </w:p>
    <w:p w14:paraId="0E24F7F5">
      <w:pPr>
        <w:snapToGrid w:val="0"/>
        <w:rPr>
          <w:rFonts w:hint="eastAsia" w:ascii="仿宋" w:hAnsi="仿宋" w:eastAsia="仿宋" w:cs="仿宋"/>
          <w:kern w:val="0"/>
          <w:sz w:val="22"/>
          <w:szCs w:val="22"/>
        </w:rPr>
      </w:pPr>
    </w:p>
    <w:p w14:paraId="73DCB590">
      <w:pPr>
        <w:snapToGrid w:val="0"/>
        <w:ind w:left="560"/>
        <w:jc w:val="center"/>
        <w:rPr>
          <w:rFonts w:ascii="Arial" w:hAnsi="Arial" w:eastAsia="楷体" w:cs="Arial"/>
          <w:b/>
          <w:kern w:val="0"/>
          <w:sz w:val="32"/>
          <w:szCs w:val="36"/>
        </w:rPr>
      </w:pPr>
    </w:p>
    <w:p w14:paraId="53265CEC">
      <w:pPr>
        <w:snapToGrid w:val="0"/>
        <w:ind w:left="560"/>
        <w:jc w:val="center"/>
        <w:rPr>
          <w:rFonts w:ascii="Arial" w:hAnsi="Arial" w:eastAsia="楷体" w:cs="Arial"/>
          <w:b/>
          <w:kern w:val="0"/>
          <w:sz w:val="32"/>
          <w:szCs w:val="36"/>
        </w:rPr>
      </w:pPr>
    </w:p>
    <w:p w14:paraId="6062C8DE">
      <w:pPr>
        <w:snapToGrid w:val="0"/>
        <w:ind w:left="560"/>
        <w:jc w:val="center"/>
        <w:rPr>
          <w:rFonts w:ascii="Arial" w:hAnsi="Arial" w:eastAsia="楷体" w:cs="Arial"/>
          <w:b/>
          <w:kern w:val="0"/>
          <w:sz w:val="32"/>
          <w:szCs w:val="36"/>
        </w:rPr>
      </w:pPr>
    </w:p>
    <w:p w14:paraId="6B9F4CC9">
      <w:pPr>
        <w:snapToGrid w:val="0"/>
        <w:ind w:left="560"/>
        <w:jc w:val="center"/>
        <w:rPr>
          <w:rFonts w:ascii="Arial" w:hAnsi="Arial" w:eastAsia="楷体" w:cs="Arial"/>
          <w:b/>
          <w:kern w:val="0"/>
          <w:sz w:val="32"/>
          <w:szCs w:val="36"/>
        </w:rPr>
      </w:pPr>
      <w:r>
        <w:rPr>
          <w:rFonts w:ascii="Arial" w:hAnsi="Arial" w:eastAsia="楷体" w:cs="Arial"/>
          <w:b/>
          <w:kern w:val="0"/>
          <w:sz w:val="32"/>
          <w:szCs w:val="36"/>
        </w:rPr>
        <w:t>第</w:t>
      </w:r>
      <w:r>
        <w:rPr>
          <w:rFonts w:hint="eastAsia" w:ascii="Arial" w:hAnsi="Arial" w:eastAsia="楷体" w:cs="Arial"/>
          <w:b/>
          <w:kern w:val="0"/>
          <w:sz w:val="32"/>
          <w:szCs w:val="36"/>
        </w:rPr>
        <w:t>二</w:t>
      </w:r>
      <w:r>
        <w:rPr>
          <w:rFonts w:ascii="Arial" w:hAnsi="Arial" w:eastAsia="楷体" w:cs="Arial"/>
          <w:b/>
          <w:kern w:val="0"/>
          <w:sz w:val="32"/>
          <w:szCs w:val="36"/>
        </w:rPr>
        <w:t xml:space="preserve">部分  </w:t>
      </w:r>
      <w:r>
        <w:rPr>
          <w:rFonts w:hint="eastAsia" w:ascii="Arial" w:hAnsi="Arial" w:eastAsia="楷体" w:cs="Arial"/>
          <w:b/>
          <w:kern w:val="0"/>
          <w:sz w:val="32"/>
          <w:szCs w:val="36"/>
        </w:rPr>
        <w:t>应选</w:t>
      </w:r>
      <w:r>
        <w:rPr>
          <w:rFonts w:ascii="Arial" w:hAnsi="Arial" w:eastAsia="楷体" w:cs="Arial"/>
          <w:b/>
          <w:kern w:val="0"/>
          <w:sz w:val="32"/>
          <w:szCs w:val="36"/>
        </w:rPr>
        <w:t>守则</w:t>
      </w:r>
    </w:p>
    <w:p w14:paraId="37045884">
      <w:pPr>
        <w:snapToGrid w:val="0"/>
        <w:ind w:firstLine="440" w:firstLineChars="200"/>
        <w:rPr>
          <w:rFonts w:ascii="仿宋" w:hAnsi="仿宋" w:eastAsia="仿宋"/>
          <w:sz w:val="22"/>
          <w:szCs w:val="24"/>
        </w:rPr>
      </w:pPr>
      <w:r>
        <w:rPr>
          <w:rFonts w:hint="eastAsia" w:ascii="仿宋" w:hAnsi="仿宋" w:eastAsia="仿宋"/>
          <w:sz w:val="22"/>
          <w:szCs w:val="24"/>
        </w:rPr>
        <w:t>1、遵循公开、公平、公正和诚实守信原则，不搞暗箱操作。</w:t>
      </w:r>
    </w:p>
    <w:p w14:paraId="2EEF004A">
      <w:pPr>
        <w:snapToGrid w:val="0"/>
        <w:ind w:firstLine="440" w:firstLineChars="200"/>
        <w:rPr>
          <w:rFonts w:ascii="仿宋" w:hAnsi="仿宋" w:eastAsia="仿宋"/>
          <w:sz w:val="22"/>
          <w:szCs w:val="24"/>
        </w:rPr>
      </w:pPr>
      <w:r>
        <w:rPr>
          <w:rFonts w:hint="eastAsia" w:ascii="仿宋" w:hAnsi="仿宋" w:eastAsia="仿宋"/>
          <w:sz w:val="22"/>
          <w:szCs w:val="24"/>
        </w:rPr>
        <w:t>2、遵守保密原则，参与招选的人员，不得将招选机密透露给应选人或相关单位和个人。</w:t>
      </w:r>
    </w:p>
    <w:p w14:paraId="0F0A326C">
      <w:pPr>
        <w:snapToGrid w:val="0"/>
        <w:ind w:firstLine="440" w:firstLineChars="200"/>
        <w:rPr>
          <w:rFonts w:ascii="仿宋" w:hAnsi="仿宋" w:eastAsia="仿宋"/>
          <w:sz w:val="22"/>
          <w:szCs w:val="24"/>
        </w:rPr>
      </w:pPr>
      <w:r>
        <w:rPr>
          <w:rFonts w:hint="eastAsia" w:ascii="仿宋" w:hAnsi="仿宋" w:eastAsia="仿宋"/>
          <w:sz w:val="22"/>
          <w:szCs w:val="24"/>
        </w:rPr>
        <w:t>3、公司参与招选的人员与应选人有利害关系的，应主动提出回避，不得参与此项目的招应选活动。</w:t>
      </w:r>
    </w:p>
    <w:p w14:paraId="02B02791">
      <w:pPr>
        <w:snapToGrid w:val="0"/>
        <w:ind w:firstLine="440" w:firstLineChars="200"/>
        <w:rPr>
          <w:rFonts w:ascii="仿宋" w:hAnsi="仿宋" w:eastAsia="仿宋"/>
          <w:sz w:val="22"/>
          <w:szCs w:val="24"/>
        </w:rPr>
      </w:pPr>
      <w:r>
        <w:rPr>
          <w:rFonts w:hint="eastAsia" w:ascii="仿宋" w:hAnsi="仿宋" w:eastAsia="仿宋"/>
          <w:sz w:val="22"/>
          <w:szCs w:val="24"/>
        </w:rPr>
        <w:t>4、应选人不得相互串通作弊，哄抬或压低应选报价，不得以他人名义应选或者以其他方式弄虚作假。</w:t>
      </w:r>
    </w:p>
    <w:p w14:paraId="0C5AF9F7">
      <w:pPr>
        <w:snapToGrid w:val="0"/>
        <w:ind w:firstLine="440" w:firstLineChars="200"/>
        <w:rPr>
          <w:rFonts w:ascii="仿宋" w:hAnsi="仿宋" w:eastAsia="仿宋"/>
          <w:sz w:val="22"/>
          <w:szCs w:val="24"/>
        </w:rPr>
      </w:pPr>
      <w:r>
        <w:rPr>
          <w:rFonts w:hint="eastAsia" w:ascii="仿宋" w:hAnsi="仿宋" w:eastAsia="仿宋"/>
          <w:sz w:val="22"/>
          <w:szCs w:val="24"/>
        </w:rPr>
        <w:t>5、禁止应选人向公司参与招选的人员行贿。</w:t>
      </w:r>
    </w:p>
    <w:p w14:paraId="16B53886">
      <w:pPr>
        <w:snapToGrid w:val="0"/>
        <w:ind w:firstLine="440" w:firstLineChars="200"/>
        <w:rPr>
          <w:rFonts w:ascii="仿宋" w:hAnsi="仿宋" w:eastAsia="仿宋"/>
          <w:sz w:val="22"/>
          <w:szCs w:val="24"/>
        </w:rPr>
      </w:pPr>
      <w:r>
        <w:rPr>
          <w:rFonts w:hint="eastAsia" w:ascii="仿宋" w:hAnsi="仿宋" w:eastAsia="仿宋"/>
          <w:sz w:val="22"/>
          <w:szCs w:val="24"/>
        </w:rPr>
        <w:t>6、应选人必须接受招选人的全部招选条件，应选文件和材料必须真实可靠，不得随意更改或撤消。</w:t>
      </w:r>
    </w:p>
    <w:p w14:paraId="37874FB3">
      <w:pPr>
        <w:snapToGrid w:val="0"/>
        <w:ind w:firstLine="440" w:firstLineChars="200"/>
        <w:rPr>
          <w:rFonts w:ascii="仿宋" w:hAnsi="仿宋" w:eastAsia="仿宋"/>
          <w:sz w:val="22"/>
          <w:szCs w:val="24"/>
        </w:rPr>
      </w:pPr>
    </w:p>
    <w:p w14:paraId="4C7AEA9C">
      <w:pPr>
        <w:snapToGrid w:val="0"/>
        <w:ind w:firstLine="442" w:firstLineChars="200"/>
        <w:rPr>
          <w:rFonts w:ascii="仿宋" w:hAnsi="仿宋" w:eastAsia="仿宋"/>
          <w:sz w:val="22"/>
          <w:szCs w:val="24"/>
        </w:rPr>
      </w:pPr>
      <w:r>
        <w:rPr>
          <w:rFonts w:hint="eastAsia" w:ascii="仿宋" w:hAnsi="仿宋" w:eastAsia="仿宋"/>
          <w:b/>
          <w:sz w:val="22"/>
          <w:szCs w:val="24"/>
        </w:rPr>
        <w:t>公司纪委监察室举报/联系方式</w:t>
      </w:r>
      <w:r>
        <w:rPr>
          <w:rFonts w:hint="eastAsia" w:ascii="仿宋" w:hAnsi="仿宋" w:eastAsia="仿宋"/>
          <w:sz w:val="22"/>
          <w:szCs w:val="24"/>
        </w:rPr>
        <w:t>：投诉电话：027-87773971、13597613266；邮箱：</w:t>
      </w:r>
      <w:r>
        <w:fldChar w:fldCharType="begin"/>
      </w:r>
      <w:r>
        <w:instrText xml:space="preserve"> HYPERLINK "mailto:jj@huaxincem.com" </w:instrText>
      </w:r>
      <w:r>
        <w:fldChar w:fldCharType="separate"/>
      </w:r>
      <w:r>
        <w:rPr>
          <w:rFonts w:hint="eastAsia"/>
          <w:sz w:val="20"/>
        </w:rPr>
        <w:t>jj@huaxincem.com</w:t>
      </w:r>
      <w:r>
        <w:rPr>
          <w:rFonts w:hint="eastAsia"/>
          <w:sz w:val="20"/>
        </w:rPr>
        <w:fldChar w:fldCharType="end"/>
      </w:r>
      <w:r>
        <w:rPr>
          <w:rFonts w:hint="eastAsia" w:ascii="仿宋" w:hAnsi="仿宋" w:eastAsia="仿宋"/>
          <w:sz w:val="22"/>
          <w:szCs w:val="24"/>
        </w:rPr>
        <w:t>；通讯地址：湖北省武汉市东湖新技术开发区高新大道426号华新大厦；收件单位：华新水泥股份有限公司纪委监察室；邮编：430205。</w:t>
      </w:r>
    </w:p>
    <w:p w14:paraId="134FBA55">
      <w:pPr>
        <w:ind w:left="974"/>
        <w:rPr>
          <w:rFonts w:ascii="仿宋" w:hAnsi="仿宋" w:eastAsia="仿宋"/>
          <w:sz w:val="24"/>
          <w:szCs w:val="28"/>
        </w:rPr>
      </w:pPr>
    </w:p>
    <w:p w14:paraId="2222CA8A">
      <w:pPr>
        <w:snapToGrid w:val="0"/>
        <w:spacing w:line="360" w:lineRule="auto"/>
        <w:ind w:left="974"/>
        <w:jc w:val="center"/>
        <w:rPr>
          <w:rFonts w:ascii="Arial" w:hAnsi="Arial" w:eastAsia="楷体" w:cs="Arial"/>
          <w:b/>
          <w:kern w:val="0"/>
          <w:sz w:val="32"/>
          <w:szCs w:val="36"/>
        </w:rPr>
      </w:pPr>
      <w:r>
        <w:rPr>
          <w:rFonts w:ascii="Arial" w:hAnsi="Arial" w:eastAsia="楷体" w:cs="Arial"/>
          <w:b/>
          <w:kern w:val="0"/>
          <w:sz w:val="32"/>
          <w:szCs w:val="36"/>
        </w:rPr>
        <w:t>第</w:t>
      </w:r>
      <w:r>
        <w:rPr>
          <w:rFonts w:hint="eastAsia" w:ascii="Arial" w:hAnsi="Arial" w:eastAsia="楷体" w:cs="Arial"/>
          <w:b/>
          <w:kern w:val="0"/>
          <w:sz w:val="32"/>
          <w:szCs w:val="36"/>
        </w:rPr>
        <w:t>三</w:t>
      </w:r>
      <w:r>
        <w:rPr>
          <w:rFonts w:ascii="Arial" w:hAnsi="Arial" w:eastAsia="楷体" w:cs="Arial"/>
          <w:b/>
          <w:kern w:val="0"/>
          <w:sz w:val="32"/>
          <w:szCs w:val="36"/>
        </w:rPr>
        <w:t xml:space="preserve">部分  </w:t>
      </w:r>
      <w:r>
        <w:rPr>
          <w:rFonts w:hint="eastAsia" w:ascii="Arial" w:hAnsi="Arial" w:eastAsia="楷体" w:cs="Arial"/>
          <w:b/>
          <w:kern w:val="0"/>
          <w:sz w:val="32"/>
          <w:szCs w:val="36"/>
        </w:rPr>
        <w:t>应选人</w:t>
      </w:r>
      <w:r>
        <w:rPr>
          <w:rFonts w:ascii="Arial" w:hAnsi="Arial" w:eastAsia="楷体" w:cs="Arial"/>
          <w:b/>
          <w:kern w:val="0"/>
          <w:sz w:val="32"/>
          <w:szCs w:val="36"/>
        </w:rPr>
        <w:t>须知</w:t>
      </w:r>
    </w:p>
    <w:p w14:paraId="0FF7E37D">
      <w:pPr>
        <w:snapToGrid w:val="0"/>
        <w:ind w:firstLine="404" w:firstLineChars="184"/>
        <w:rPr>
          <w:rFonts w:ascii="仿宋" w:hAnsi="仿宋" w:eastAsia="仿宋"/>
          <w:sz w:val="22"/>
          <w:szCs w:val="24"/>
        </w:rPr>
      </w:pPr>
      <w:r>
        <w:rPr>
          <w:rFonts w:hint="eastAsia" w:ascii="仿宋" w:hAnsi="仿宋" w:eastAsia="仿宋"/>
          <w:sz w:val="22"/>
          <w:szCs w:val="24"/>
        </w:rPr>
        <w:t>（应选人须认真阅读本须知后，方可应选）</w:t>
      </w:r>
    </w:p>
    <w:p w14:paraId="063565F3">
      <w:pPr>
        <w:snapToGrid w:val="0"/>
        <w:ind w:firstLine="440" w:firstLineChars="200"/>
        <w:rPr>
          <w:rFonts w:ascii="仿宋" w:hAnsi="仿宋" w:eastAsia="仿宋"/>
          <w:sz w:val="22"/>
          <w:szCs w:val="24"/>
        </w:rPr>
      </w:pPr>
      <w:r>
        <w:rPr>
          <w:rFonts w:hint="eastAsia" w:ascii="仿宋" w:hAnsi="仿宋" w:eastAsia="仿宋"/>
          <w:sz w:val="22"/>
          <w:szCs w:val="24"/>
        </w:rPr>
        <w:t>1、</w:t>
      </w:r>
      <w:r>
        <w:rPr>
          <w:rFonts w:ascii="仿宋" w:hAnsi="仿宋" w:eastAsia="仿宋"/>
          <w:sz w:val="22"/>
          <w:szCs w:val="24"/>
        </w:rPr>
        <w:t>应选人必须是在中国国内正式注册，具有独立法人地位的公司（企业）</w:t>
      </w:r>
      <w:r>
        <w:rPr>
          <w:rFonts w:hint="eastAsia" w:ascii="仿宋" w:hAnsi="仿宋" w:eastAsia="仿宋"/>
          <w:sz w:val="22"/>
          <w:szCs w:val="24"/>
        </w:rPr>
        <w:t>，同意招应选文件内容。若应选方代表为非法人代表，需由法人代表出具委托授权书予以授权，否则招选方不予受理。</w:t>
      </w:r>
    </w:p>
    <w:p w14:paraId="6ABBA153">
      <w:pPr>
        <w:snapToGrid w:val="0"/>
        <w:ind w:firstLine="440" w:firstLineChars="200"/>
        <w:rPr>
          <w:rFonts w:ascii="仿宋" w:hAnsi="仿宋" w:eastAsia="仿宋"/>
          <w:sz w:val="22"/>
          <w:szCs w:val="24"/>
        </w:rPr>
      </w:pPr>
      <w:r>
        <w:rPr>
          <w:rFonts w:hint="eastAsia" w:ascii="仿宋" w:hAnsi="仿宋" w:eastAsia="仿宋"/>
          <w:sz w:val="22"/>
          <w:szCs w:val="24"/>
        </w:rPr>
        <w:t>2、应选单位应是具有较强实力、能提供保障供应的经营单位，在经营过程中信誉良好、无违法经营和无不正当竞争行为。</w:t>
      </w:r>
    </w:p>
    <w:p w14:paraId="4222EE53">
      <w:pPr>
        <w:snapToGrid w:val="0"/>
        <w:ind w:firstLine="440" w:firstLineChars="200"/>
        <w:rPr>
          <w:rFonts w:ascii="仿宋" w:hAnsi="仿宋" w:eastAsia="仿宋"/>
          <w:sz w:val="22"/>
          <w:szCs w:val="24"/>
        </w:rPr>
      </w:pPr>
      <w:r>
        <w:rPr>
          <w:rFonts w:hint="eastAsia" w:ascii="仿宋" w:hAnsi="仿宋" w:eastAsia="仿宋"/>
          <w:sz w:val="22"/>
          <w:szCs w:val="24"/>
        </w:rPr>
        <w:t>3、我公司不接受电话、传真、电报、电子邮件、口头等其他方式应选，仅接受网上应选。</w:t>
      </w:r>
    </w:p>
    <w:p w14:paraId="213E6D3E">
      <w:pPr>
        <w:snapToGrid w:val="0"/>
        <w:ind w:firstLine="440" w:firstLineChars="200"/>
        <w:rPr>
          <w:rFonts w:ascii="仿宋" w:hAnsi="仿宋" w:eastAsia="仿宋"/>
          <w:sz w:val="22"/>
          <w:szCs w:val="24"/>
        </w:rPr>
      </w:pPr>
      <w:r>
        <w:rPr>
          <w:rFonts w:hint="eastAsia" w:ascii="仿宋" w:hAnsi="仿宋" w:eastAsia="仿宋"/>
          <w:sz w:val="22"/>
          <w:szCs w:val="24"/>
        </w:rPr>
        <w:t>4、应选人须了解我公司的要求，仔细研究招选文件，如对上述文件有不清楚、不明了的地方，可在应选时间截止前向我公司问询，但我公司只提供与招选有关的必要资料。应选人在应选时间截止前，发现报价或质量指标填写有误或需重新报价者，可修改报价表。如发生多次上传，系统只能读取最后一次上传的有效文件。应选时间截止后，应选人不可报价或修改报价表</w:t>
      </w:r>
    </w:p>
    <w:p w14:paraId="6D77B4BF">
      <w:pPr>
        <w:snapToGrid w:val="0"/>
        <w:ind w:firstLine="440" w:firstLineChars="200"/>
        <w:rPr>
          <w:rFonts w:ascii="仿宋" w:hAnsi="仿宋" w:eastAsia="仿宋"/>
          <w:sz w:val="22"/>
          <w:szCs w:val="24"/>
        </w:rPr>
      </w:pPr>
      <w:r>
        <w:rPr>
          <w:rFonts w:hint="eastAsia" w:ascii="仿宋" w:hAnsi="仿宋" w:eastAsia="仿宋"/>
          <w:sz w:val="22"/>
          <w:szCs w:val="24"/>
        </w:rPr>
        <w:t>5、应选人须认真、全面、真实填写应选文件规定的内容，如果仅部分填写或填写不清楚，即视为放弃应选。</w:t>
      </w:r>
    </w:p>
    <w:p w14:paraId="0FF899C4">
      <w:pPr>
        <w:snapToGrid w:val="0"/>
        <w:ind w:firstLine="440" w:firstLineChars="200"/>
        <w:rPr>
          <w:rFonts w:ascii="仿宋" w:hAnsi="仿宋" w:eastAsia="仿宋"/>
          <w:sz w:val="22"/>
          <w:szCs w:val="24"/>
        </w:rPr>
      </w:pPr>
      <w:r>
        <w:rPr>
          <w:rFonts w:hint="eastAsia" w:ascii="仿宋" w:hAnsi="仿宋" w:eastAsia="仿宋"/>
          <w:sz w:val="22"/>
          <w:szCs w:val="24"/>
        </w:rPr>
        <w:t>6、应选人如未能在报价截止时间前，获得入围资格并在网上上传相关应选文件，即视为放弃本次应选。</w:t>
      </w:r>
    </w:p>
    <w:p w14:paraId="06C296D3">
      <w:pPr>
        <w:snapToGrid w:val="0"/>
        <w:ind w:firstLine="440" w:firstLineChars="200"/>
        <w:rPr>
          <w:rFonts w:ascii="仿宋" w:hAnsi="仿宋" w:eastAsia="仿宋"/>
          <w:sz w:val="22"/>
          <w:szCs w:val="24"/>
        </w:rPr>
      </w:pPr>
      <w:r>
        <w:rPr>
          <w:rFonts w:hint="eastAsia" w:ascii="仿宋" w:hAnsi="仿宋" w:eastAsia="仿宋"/>
          <w:sz w:val="22"/>
          <w:szCs w:val="24"/>
        </w:rPr>
        <w:t>7、应选人在我公司网上投投标平台注册成功并通过资质审核后对招选物资进行网上报价，</w:t>
      </w:r>
      <w:r>
        <w:rPr>
          <w:rFonts w:ascii="仿宋" w:hAnsi="仿宋" w:eastAsia="仿宋"/>
          <w:sz w:val="22"/>
          <w:szCs w:val="24"/>
        </w:rPr>
        <w:t>若提交的资质不符合要求，则不能入围</w:t>
      </w:r>
      <w:r>
        <w:rPr>
          <w:rFonts w:hint="eastAsia" w:ascii="仿宋" w:hAnsi="仿宋" w:eastAsia="仿宋"/>
          <w:sz w:val="22"/>
          <w:szCs w:val="24"/>
        </w:rPr>
        <w:t>，进入到报价</w:t>
      </w:r>
      <w:r>
        <w:rPr>
          <w:rFonts w:ascii="仿宋" w:hAnsi="仿宋" w:eastAsia="仿宋"/>
          <w:sz w:val="22"/>
          <w:szCs w:val="24"/>
        </w:rPr>
        <w:t>环节（</w:t>
      </w:r>
      <w:r>
        <w:rPr>
          <w:rFonts w:hint="eastAsia" w:ascii="仿宋" w:hAnsi="仿宋" w:eastAsia="仿宋"/>
          <w:sz w:val="22"/>
          <w:szCs w:val="24"/>
        </w:rPr>
        <w:t>即</w:t>
      </w:r>
      <w:r>
        <w:rPr>
          <w:rFonts w:ascii="仿宋" w:hAnsi="仿宋" w:eastAsia="仿宋"/>
          <w:sz w:val="22"/>
          <w:szCs w:val="24"/>
        </w:rPr>
        <w:t>无法看到招选文件）</w:t>
      </w:r>
      <w:r>
        <w:rPr>
          <w:rFonts w:hint="eastAsia" w:ascii="仿宋" w:hAnsi="仿宋" w:eastAsia="仿宋"/>
          <w:sz w:val="22"/>
          <w:szCs w:val="24"/>
        </w:rPr>
        <w:t>。</w:t>
      </w:r>
    </w:p>
    <w:p w14:paraId="7695829C">
      <w:pPr>
        <w:snapToGrid w:val="0"/>
        <w:ind w:firstLine="440" w:firstLineChars="200"/>
        <w:rPr>
          <w:rFonts w:ascii="仿宋" w:hAnsi="仿宋" w:eastAsia="仿宋"/>
          <w:sz w:val="22"/>
          <w:szCs w:val="24"/>
        </w:rPr>
      </w:pPr>
      <w:r>
        <w:rPr>
          <w:rFonts w:hint="eastAsia" w:ascii="仿宋" w:hAnsi="仿宋" w:eastAsia="仿宋"/>
          <w:sz w:val="22"/>
          <w:szCs w:val="24"/>
        </w:rPr>
        <w:t>8、在应选截止日期前我公司所有人员均查看不了报价信息。</w:t>
      </w:r>
    </w:p>
    <w:p w14:paraId="59DE7379">
      <w:pPr>
        <w:snapToGrid w:val="0"/>
        <w:ind w:firstLine="440" w:firstLineChars="200"/>
        <w:rPr>
          <w:rFonts w:ascii="仿宋" w:hAnsi="仿宋" w:eastAsia="仿宋"/>
          <w:sz w:val="22"/>
          <w:szCs w:val="24"/>
        </w:rPr>
      </w:pPr>
      <w:r>
        <w:rPr>
          <w:rFonts w:hint="eastAsia" w:ascii="仿宋" w:hAnsi="仿宋" w:eastAsia="仿宋"/>
          <w:sz w:val="22"/>
          <w:szCs w:val="24"/>
        </w:rPr>
        <w:t>9、我公司将于应选截止日期之后分别对所有应选人的应选书进行现场网上开启。应选截止时间详见招标公告。</w:t>
      </w:r>
    </w:p>
    <w:p w14:paraId="38DA6F3C">
      <w:pPr>
        <w:snapToGrid w:val="0"/>
        <w:ind w:firstLine="440" w:firstLineChars="200"/>
        <w:rPr>
          <w:rFonts w:ascii="仿宋" w:hAnsi="仿宋" w:eastAsia="仿宋"/>
          <w:sz w:val="22"/>
          <w:szCs w:val="24"/>
        </w:rPr>
      </w:pPr>
      <w:r>
        <w:rPr>
          <w:rFonts w:hint="eastAsia" w:ascii="仿宋" w:hAnsi="仿宋" w:eastAsia="仿宋"/>
          <w:sz w:val="22"/>
          <w:szCs w:val="24"/>
        </w:rPr>
        <w:t>10、在投标有效期内，投标人撤销或修改其投标文件的，应承担招标文件和法律规定的责任。</w:t>
      </w:r>
    </w:p>
    <w:p w14:paraId="0D64A54A">
      <w:pPr>
        <w:snapToGrid w:val="0"/>
        <w:ind w:firstLine="440" w:firstLineChars="200"/>
        <w:rPr>
          <w:rFonts w:ascii="仿宋" w:hAnsi="仿宋" w:eastAsia="仿宋"/>
          <w:sz w:val="22"/>
          <w:szCs w:val="24"/>
        </w:rPr>
      </w:pPr>
      <w:r>
        <w:rPr>
          <w:rFonts w:hint="eastAsia" w:ascii="仿宋" w:hAnsi="仿宋" w:eastAsia="仿宋"/>
          <w:sz w:val="22"/>
          <w:szCs w:val="24"/>
        </w:rPr>
        <w:t>11、我公司有权要求应选人对应选文件中含义不明确的内容作必要的澄清或说明，并将根据应选人的企业信誉、服务能力、服务质量和价格水平等因素进行综合评价和复审，选定综合实力最优供应商作为应选中标单位。</w:t>
      </w:r>
    </w:p>
    <w:p w14:paraId="034F7819">
      <w:pPr>
        <w:snapToGrid w:val="0"/>
        <w:ind w:firstLine="440" w:firstLineChars="200"/>
        <w:rPr>
          <w:rFonts w:ascii="仿宋" w:hAnsi="仿宋" w:eastAsia="仿宋"/>
          <w:sz w:val="22"/>
          <w:szCs w:val="24"/>
        </w:rPr>
      </w:pPr>
      <w:r>
        <w:rPr>
          <w:rFonts w:hint="eastAsia" w:ascii="仿宋" w:hAnsi="仿宋" w:eastAsia="仿宋"/>
          <w:sz w:val="22"/>
          <w:szCs w:val="24"/>
        </w:rPr>
        <w:t>12、我公司将及时将最终选定结果通知中选人，中选人接到中选通知书后需及时与我公司办理合同签订事宜。</w:t>
      </w:r>
    </w:p>
    <w:p w14:paraId="1A127D73">
      <w:pPr>
        <w:snapToGrid w:val="0"/>
        <w:ind w:firstLine="440" w:firstLineChars="200"/>
        <w:rPr>
          <w:rFonts w:ascii="仿宋" w:hAnsi="仿宋" w:eastAsia="仿宋"/>
          <w:sz w:val="22"/>
          <w:szCs w:val="24"/>
        </w:rPr>
      </w:pPr>
      <w:r>
        <w:rPr>
          <w:rFonts w:hint="eastAsia" w:ascii="仿宋" w:hAnsi="仿宋" w:eastAsia="仿宋"/>
          <w:sz w:val="22"/>
          <w:szCs w:val="24"/>
        </w:rPr>
        <w:t>13、无论中选与否，应选人均须自行承担参加应选有关的全部费用。</w:t>
      </w:r>
    </w:p>
    <w:p w14:paraId="4B2524A8">
      <w:pPr>
        <w:snapToGrid w:val="0"/>
        <w:ind w:firstLine="440" w:firstLineChars="200"/>
        <w:rPr>
          <w:rFonts w:ascii="仿宋" w:hAnsi="仿宋" w:eastAsia="仿宋"/>
          <w:sz w:val="22"/>
          <w:szCs w:val="24"/>
        </w:rPr>
      </w:pPr>
      <w:r>
        <w:rPr>
          <w:rFonts w:hint="eastAsia" w:ascii="仿宋" w:hAnsi="仿宋" w:eastAsia="仿宋"/>
          <w:sz w:val="22"/>
          <w:szCs w:val="24"/>
        </w:rPr>
        <w:t>14、我公司有权要求中选方缴纳合同履约保证金（视矿山产量不同缴纳金额不等），以避免中选方无法保证正常生产、安全事故等事宜给工厂带来的经济损失。</w:t>
      </w:r>
    </w:p>
    <w:p w14:paraId="51F0ADCE">
      <w:pPr>
        <w:snapToGrid w:val="0"/>
        <w:ind w:firstLine="440" w:firstLineChars="200"/>
        <w:rPr>
          <w:rFonts w:ascii="仿宋" w:hAnsi="仿宋" w:eastAsia="仿宋"/>
          <w:sz w:val="22"/>
          <w:szCs w:val="24"/>
        </w:rPr>
      </w:pPr>
      <w:r>
        <w:rPr>
          <w:rFonts w:hint="eastAsia" w:ascii="仿宋" w:hAnsi="仿宋" w:eastAsia="仿宋"/>
          <w:sz w:val="22"/>
          <w:szCs w:val="24"/>
        </w:rPr>
        <w:t>15、本招选书解释权属我公司。</w:t>
      </w:r>
    </w:p>
    <w:p w14:paraId="0EBD8901">
      <w:pPr>
        <w:snapToGrid w:val="0"/>
        <w:spacing w:line="360" w:lineRule="auto"/>
        <w:jc w:val="center"/>
        <w:rPr>
          <w:rFonts w:ascii="Arial" w:hAnsi="Arial" w:eastAsia="楷体" w:cs="Arial"/>
          <w:b/>
          <w:kern w:val="0"/>
          <w:sz w:val="32"/>
          <w:szCs w:val="36"/>
        </w:rPr>
      </w:pPr>
      <w:r>
        <w:rPr>
          <w:rFonts w:ascii="Arial" w:hAnsi="Arial" w:eastAsia="楷体" w:cs="Arial"/>
          <w:b/>
          <w:kern w:val="0"/>
          <w:sz w:val="32"/>
          <w:szCs w:val="36"/>
        </w:rPr>
        <w:t>第</w:t>
      </w:r>
      <w:r>
        <w:rPr>
          <w:rFonts w:hint="eastAsia" w:ascii="Arial" w:hAnsi="Arial" w:eastAsia="楷体" w:cs="Arial"/>
          <w:b/>
          <w:kern w:val="0"/>
          <w:sz w:val="32"/>
          <w:szCs w:val="36"/>
        </w:rPr>
        <w:t>四</w:t>
      </w:r>
      <w:r>
        <w:rPr>
          <w:rFonts w:ascii="Arial" w:hAnsi="Arial" w:eastAsia="楷体" w:cs="Arial"/>
          <w:b/>
          <w:kern w:val="0"/>
          <w:sz w:val="32"/>
          <w:szCs w:val="36"/>
        </w:rPr>
        <w:t xml:space="preserve">部分  </w:t>
      </w:r>
      <w:r>
        <w:rPr>
          <w:rFonts w:hint="eastAsia" w:ascii="Arial" w:hAnsi="Arial" w:eastAsia="楷体" w:cs="Arial"/>
          <w:b/>
          <w:kern w:val="0"/>
          <w:sz w:val="32"/>
          <w:szCs w:val="36"/>
        </w:rPr>
        <w:t>安全环保要求</w:t>
      </w:r>
    </w:p>
    <w:p w14:paraId="5AA40DAE">
      <w:pPr>
        <w:snapToGrid w:val="0"/>
        <w:ind w:firstLine="420" w:firstLineChars="200"/>
        <w:rPr>
          <w:rFonts w:ascii="仿宋" w:hAnsi="仿宋" w:eastAsia="仿宋"/>
          <w:szCs w:val="24"/>
        </w:rPr>
      </w:pPr>
      <w:r>
        <w:rPr>
          <w:rFonts w:hint="eastAsia" w:ascii="仿宋" w:hAnsi="仿宋" w:eastAsia="仿宋"/>
          <w:szCs w:val="24"/>
        </w:rPr>
        <w:t>1、应选单位应当依照有关法律、法规、规章和国家标准、行业标准的规定，以及承包合同和安全生产管理协议的约定，组织施工作业，确保安全生产。</w:t>
      </w:r>
    </w:p>
    <w:p w14:paraId="5715A0C0">
      <w:pPr>
        <w:snapToGrid w:val="0"/>
        <w:ind w:firstLine="420" w:firstLineChars="200"/>
        <w:rPr>
          <w:rFonts w:ascii="仿宋" w:hAnsi="仿宋" w:eastAsia="仿宋"/>
          <w:szCs w:val="24"/>
        </w:rPr>
      </w:pPr>
      <w:r>
        <w:rPr>
          <w:rFonts w:hint="eastAsia" w:ascii="仿宋" w:hAnsi="仿宋" w:eastAsia="仿宋"/>
          <w:szCs w:val="24"/>
        </w:rPr>
        <w:t>2、禁止应选单位转包其承揽的外包工程。</w:t>
      </w:r>
    </w:p>
    <w:p w14:paraId="71B91FB9">
      <w:pPr>
        <w:snapToGrid w:val="0"/>
        <w:ind w:firstLine="420" w:firstLineChars="200"/>
        <w:rPr>
          <w:rFonts w:ascii="仿宋" w:hAnsi="仿宋" w:eastAsia="仿宋"/>
          <w:szCs w:val="24"/>
        </w:rPr>
      </w:pPr>
      <w:r>
        <w:rPr>
          <w:rFonts w:hint="eastAsia" w:ascii="仿宋" w:hAnsi="仿宋" w:eastAsia="仿宋"/>
          <w:szCs w:val="24"/>
        </w:rPr>
        <w:t>3、应选单位应全面承担所属人员安全管理的责任与义务。其</w:t>
      </w:r>
      <w:r>
        <w:rPr>
          <w:rFonts w:hint="eastAsia" w:ascii="仿宋" w:hAnsi="仿宋" w:eastAsia="仿宋" w:cs="Arial"/>
          <w:kern w:val="0"/>
          <w:szCs w:val="28"/>
        </w:rPr>
        <w:t>项目组主要成员（如生产负责人、安全工程师、安全员、设备维修等特种作业人员等）必须持证上岗，且在现场工作。并提供入场作业员工工伤保险或意外伤害险证明以及相关资质证件</w:t>
      </w:r>
      <w:r>
        <w:rPr>
          <w:rFonts w:hint="eastAsia" w:ascii="仿宋" w:hAnsi="仿宋" w:eastAsia="仿宋"/>
          <w:szCs w:val="24"/>
        </w:rPr>
        <w:t>。</w:t>
      </w:r>
    </w:p>
    <w:p w14:paraId="1DBA569B">
      <w:pPr>
        <w:snapToGrid w:val="0"/>
        <w:ind w:firstLine="420" w:firstLineChars="200"/>
        <w:rPr>
          <w:rFonts w:ascii="仿宋" w:hAnsi="仿宋" w:eastAsia="仿宋"/>
          <w:szCs w:val="24"/>
        </w:rPr>
      </w:pPr>
      <w:r>
        <w:rPr>
          <w:rFonts w:hint="eastAsia" w:ascii="仿宋" w:hAnsi="仿宋" w:eastAsia="仿宋"/>
          <w:szCs w:val="24"/>
        </w:rPr>
        <w:t>1</w:t>
      </w:r>
      <w:r>
        <w:rPr>
          <w:rFonts w:ascii="仿宋" w:hAnsi="仿宋" w:eastAsia="仿宋"/>
          <w:szCs w:val="24"/>
        </w:rPr>
        <w:t>6</w:t>
      </w:r>
      <w:r>
        <w:rPr>
          <w:rFonts w:hint="eastAsia" w:ascii="仿宋" w:hAnsi="仿宋" w:eastAsia="仿宋"/>
          <w:szCs w:val="24"/>
        </w:rPr>
        <w:t>、</w:t>
      </w:r>
      <w:r>
        <w:rPr>
          <w:rFonts w:hint="eastAsia" w:ascii="仿宋" w:hAnsi="仿宋" w:eastAsia="仿宋" w:cs="Arial"/>
          <w:kern w:val="0"/>
          <w:szCs w:val="28"/>
        </w:rPr>
        <w:t>应选单位的项目负责人必须具备在有效期范围内的非煤矿山类《安全管理资格证》，并以项目经理的身份负责过类似工程项目。</w:t>
      </w:r>
    </w:p>
    <w:p w14:paraId="461D8B82">
      <w:pPr>
        <w:snapToGrid w:val="0"/>
        <w:ind w:firstLine="420" w:firstLineChars="200"/>
        <w:rPr>
          <w:rFonts w:ascii="仿宋" w:hAnsi="仿宋" w:eastAsia="仿宋"/>
          <w:szCs w:val="24"/>
        </w:rPr>
      </w:pPr>
      <w:r>
        <w:rPr>
          <w:rFonts w:hint="eastAsia" w:ascii="仿宋" w:hAnsi="仿宋" w:eastAsia="仿宋"/>
          <w:szCs w:val="24"/>
        </w:rPr>
        <w:t>4、应选单位应当根据项目的规模和特点，依法健全安全生产责任体系，完善安全生产管理基本制度，设置安全生产管理机构，配备专职安全生产管理人员和有关工程技术人员。</w:t>
      </w:r>
    </w:p>
    <w:p w14:paraId="2F451C01">
      <w:pPr>
        <w:snapToGrid w:val="0"/>
        <w:ind w:firstLine="420" w:firstLineChars="200"/>
        <w:rPr>
          <w:rFonts w:ascii="仿宋" w:hAnsi="仿宋" w:eastAsia="仿宋"/>
          <w:szCs w:val="24"/>
        </w:rPr>
      </w:pPr>
      <w:r>
        <w:rPr>
          <w:rFonts w:hint="eastAsia" w:ascii="仿宋" w:hAnsi="仿宋" w:eastAsia="仿宋"/>
          <w:szCs w:val="24"/>
        </w:rPr>
        <w:t>5、应选单位应当依照有关规定制定施工方案，加强现场作业安全管理，定期排查并及时治理事故隐患，落实各项规章制度和安全操作规程。</w:t>
      </w:r>
    </w:p>
    <w:p w14:paraId="1D785DAF">
      <w:pPr>
        <w:snapToGrid w:val="0"/>
        <w:ind w:firstLine="420" w:firstLineChars="200"/>
        <w:rPr>
          <w:rFonts w:ascii="仿宋" w:hAnsi="仿宋" w:eastAsia="仿宋"/>
          <w:szCs w:val="24"/>
        </w:rPr>
      </w:pPr>
      <w:r>
        <w:rPr>
          <w:rFonts w:hint="eastAsia" w:ascii="仿宋" w:hAnsi="仿宋" w:eastAsia="仿宋"/>
          <w:szCs w:val="24"/>
        </w:rPr>
        <w:t>6、应选单位发现事故隐患后应当立即治理；不能立即治理的应当采取必要的防范措施，并及时书面报告发包方协商解决，消除事故隐患。</w:t>
      </w:r>
    </w:p>
    <w:p w14:paraId="78CF444D">
      <w:pPr>
        <w:snapToGrid w:val="0"/>
        <w:ind w:firstLine="420" w:firstLineChars="200"/>
        <w:rPr>
          <w:rFonts w:ascii="仿宋" w:hAnsi="仿宋" w:eastAsia="仿宋"/>
          <w:szCs w:val="24"/>
        </w:rPr>
      </w:pPr>
      <w:r>
        <w:rPr>
          <w:rFonts w:hint="eastAsia" w:ascii="仿宋" w:hAnsi="仿宋" w:eastAsia="仿宋"/>
          <w:szCs w:val="24"/>
        </w:rPr>
        <w:t>7、应选单位应当接受发包方组织的安全生产培训与指导，加强对本单位从业人员的安全生产教育和培训，保证从业人员掌握必需的安全生产知识和操作技能。</w:t>
      </w:r>
    </w:p>
    <w:p w14:paraId="29D7FCA6">
      <w:pPr>
        <w:snapToGrid w:val="0"/>
        <w:ind w:firstLine="420" w:firstLineChars="200"/>
        <w:rPr>
          <w:rFonts w:ascii="仿宋" w:hAnsi="仿宋" w:eastAsia="仿宋"/>
          <w:szCs w:val="24"/>
        </w:rPr>
      </w:pPr>
      <w:r>
        <w:rPr>
          <w:rFonts w:hint="eastAsia" w:ascii="仿宋" w:hAnsi="仿宋" w:eastAsia="仿宋"/>
          <w:szCs w:val="24"/>
        </w:rPr>
        <w:t>8、应选单位应当统一组织编制外包工程应急预案。按照国家有关规定和应急预案的要求，分别建立应急救援组织或者指定应急救援人员，配备救援设备设施和器材，并定期组织演练。</w:t>
      </w:r>
    </w:p>
    <w:p w14:paraId="5BD771B5">
      <w:pPr>
        <w:snapToGrid w:val="0"/>
        <w:ind w:firstLine="420" w:firstLineChars="200"/>
        <w:rPr>
          <w:rFonts w:ascii="仿宋" w:hAnsi="仿宋" w:eastAsia="仿宋"/>
          <w:szCs w:val="24"/>
        </w:rPr>
      </w:pPr>
      <w:r>
        <w:rPr>
          <w:rFonts w:hint="eastAsia" w:ascii="仿宋" w:hAnsi="仿宋" w:eastAsia="仿宋"/>
          <w:szCs w:val="24"/>
        </w:rPr>
        <w:t>9、应选单位发生事故后，应当立即如实地向招选单位报告，并启动相应的应急预案，采取有效措施，组织抢救，防止事故扩大。</w:t>
      </w:r>
    </w:p>
    <w:p w14:paraId="58FA0044">
      <w:pPr>
        <w:snapToGrid w:val="0"/>
        <w:ind w:firstLine="420" w:firstLineChars="200"/>
        <w:rPr>
          <w:rFonts w:ascii="仿宋" w:hAnsi="仿宋" w:eastAsia="仿宋"/>
          <w:szCs w:val="24"/>
        </w:rPr>
      </w:pPr>
      <w:r>
        <w:rPr>
          <w:rFonts w:hint="eastAsia" w:ascii="仿宋" w:hAnsi="仿宋" w:eastAsia="仿宋"/>
          <w:szCs w:val="24"/>
        </w:rPr>
        <w:t>10、应确保周围建筑设施和人员的绝对安全，如因应选单位责任造成人员伤亡或造成财产损失，由应选单位承担一切经济损失和法律责任。</w:t>
      </w:r>
    </w:p>
    <w:p w14:paraId="6FD3EFA8">
      <w:pPr>
        <w:snapToGrid w:val="0"/>
        <w:ind w:firstLine="420" w:firstLineChars="200"/>
        <w:rPr>
          <w:rFonts w:hint="eastAsia" w:ascii="仿宋" w:hAnsi="仿宋" w:eastAsia="仿宋" w:cs="Arial"/>
          <w:kern w:val="0"/>
          <w:szCs w:val="28"/>
        </w:rPr>
      </w:pPr>
      <w:r>
        <w:rPr>
          <w:rFonts w:hint="eastAsia" w:ascii="仿宋" w:hAnsi="仿宋" w:eastAsia="仿宋" w:cs="Arial"/>
          <w:kern w:val="0"/>
          <w:szCs w:val="28"/>
        </w:rPr>
        <w:t>11、应选单位需认同华新的核心价值观，遵守公司《健康安全协议》</w:t>
      </w:r>
      <w:r>
        <w:rPr>
          <w:rFonts w:hint="eastAsia" w:ascii="仿宋" w:hAnsi="仿宋" w:eastAsia="仿宋" w:cs="Arial"/>
          <w:b/>
          <w:bCs/>
          <w:color w:val="FF0000"/>
          <w:kern w:val="0"/>
          <w:szCs w:val="28"/>
        </w:rPr>
        <w:t>（</w:t>
      </w:r>
      <w:r>
        <w:rPr>
          <w:rFonts w:hint="eastAsia" w:ascii="仿宋" w:hAnsi="仿宋" w:eastAsia="仿宋" w:cs="Arial"/>
          <w:b/>
          <w:bCs/>
          <w:color w:val="FF0000"/>
          <w:kern w:val="0"/>
          <w:szCs w:val="28"/>
          <w:lang w:val="en-US" w:eastAsia="zh-CN"/>
        </w:rPr>
        <w:t>详见附件3</w:t>
      </w:r>
      <w:r>
        <w:rPr>
          <w:rFonts w:hint="eastAsia" w:ascii="仿宋" w:hAnsi="仿宋" w:eastAsia="仿宋" w:cs="Arial"/>
          <w:color w:val="FF0000"/>
          <w:kern w:val="0"/>
          <w:szCs w:val="28"/>
        </w:rPr>
        <w:t>）</w:t>
      </w:r>
      <w:r>
        <w:rPr>
          <w:rFonts w:hint="eastAsia" w:ascii="仿宋" w:hAnsi="仿宋" w:eastAsia="仿宋" w:cs="Arial"/>
          <w:kern w:val="0"/>
          <w:szCs w:val="28"/>
        </w:rPr>
        <w:t>，</w:t>
      </w:r>
    </w:p>
    <w:p w14:paraId="59C5027F">
      <w:pPr>
        <w:snapToGrid w:val="0"/>
        <w:ind w:firstLine="420" w:firstLineChars="200"/>
        <w:rPr>
          <w:rFonts w:ascii="仿宋" w:hAnsi="仿宋" w:eastAsia="仿宋"/>
          <w:szCs w:val="24"/>
        </w:rPr>
      </w:pPr>
      <w:r>
        <w:rPr>
          <w:rFonts w:hint="eastAsia" w:ascii="仿宋" w:hAnsi="仿宋" w:eastAsia="仿宋" w:cs="Arial"/>
          <w:kern w:val="0"/>
          <w:szCs w:val="28"/>
        </w:rPr>
        <w:t>12、应选单位需进行安全资格自评</w:t>
      </w:r>
      <w:r>
        <w:rPr>
          <w:rFonts w:hint="eastAsia" w:ascii="仿宋" w:hAnsi="仿宋" w:eastAsia="仿宋" w:cs="Arial"/>
          <w:b/>
          <w:bCs/>
          <w:color w:val="FF0000"/>
          <w:kern w:val="0"/>
          <w:szCs w:val="28"/>
        </w:rPr>
        <w:t>（测评范围及项目详见</w:t>
      </w:r>
      <w:r>
        <w:rPr>
          <w:rFonts w:hint="eastAsia" w:ascii="仿宋" w:hAnsi="仿宋" w:eastAsia="仿宋" w:cs="Arial"/>
          <w:b/>
          <w:bCs/>
          <w:color w:val="FF0000"/>
          <w:kern w:val="0"/>
          <w:szCs w:val="28"/>
          <w:lang w:val="en-US" w:eastAsia="zh-CN"/>
        </w:rPr>
        <w:t>附件4</w:t>
      </w:r>
      <w:r>
        <w:rPr>
          <w:rFonts w:hint="eastAsia" w:ascii="仿宋" w:hAnsi="仿宋" w:eastAsia="仿宋" w:cs="Arial"/>
          <w:b/>
          <w:bCs/>
          <w:color w:val="FF0000"/>
          <w:kern w:val="0"/>
          <w:szCs w:val="28"/>
        </w:rPr>
        <w:t>）</w:t>
      </w:r>
      <w:r>
        <w:rPr>
          <w:rFonts w:hint="eastAsia" w:ascii="仿宋" w:hAnsi="仿宋" w:eastAsia="仿宋" w:cs="Arial"/>
          <w:kern w:val="0"/>
          <w:szCs w:val="28"/>
        </w:rPr>
        <w:t>，如自评得分低于70分，应放弃应选（拟中选的应选单位将由服务工厂组织进行现场评审，合格后方可成为中选方）。</w:t>
      </w:r>
    </w:p>
    <w:p w14:paraId="00CCA3C1">
      <w:pPr>
        <w:snapToGrid w:val="0"/>
        <w:ind w:firstLine="420" w:firstLineChars="200"/>
        <w:rPr>
          <w:rFonts w:ascii="仿宋" w:hAnsi="仿宋" w:eastAsia="仿宋"/>
          <w:szCs w:val="24"/>
        </w:rPr>
      </w:pPr>
      <w:r>
        <w:rPr>
          <w:rFonts w:hint="eastAsia" w:ascii="仿宋" w:hAnsi="仿宋" w:eastAsia="仿宋"/>
          <w:szCs w:val="24"/>
        </w:rPr>
        <w:t>13、双方在开采承包合同以外必须按国家应急管理部门的要求另行签订安全协议（格式必须符合现行国家的相关安全协议模板）。</w:t>
      </w:r>
    </w:p>
    <w:p w14:paraId="76B435B8">
      <w:pPr>
        <w:snapToGrid w:val="0"/>
        <w:ind w:firstLine="420" w:firstLineChars="200"/>
        <w:rPr>
          <w:rFonts w:ascii="仿宋" w:hAnsi="仿宋" w:eastAsia="仿宋" w:cs="Arial"/>
          <w:kern w:val="0"/>
          <w:szCs w:val="28"/>
        </w:rPr>
      </w:pPr>
      <w:r>
        <w:rPr>
          <w:rFonts w:hint="eastAsia" w:ascii="仿宋" w:hAnsi="仿宋" w:eastAsia="仿宋" w:cs="Arial"/>
          <w:kern w:val="0"/>
          <w:szCs w:val="28"/>
        </w:rPr>
        <w:t>14、应选单位所使用工程设备必须符合国家排放标准，且</w:t>
      </w:r>
      <w:r>
        <w:rPr>
          <w:rFonts w:ascii="仿宋" w:hAnsi="仿宋" w:eastAsia="仿宋" w:cs="Arial"/>
          <w:kern w:val="0"/>
          <w:szCs w:val="28"/>
        </w:rPr>
        <w:t>安全设施完善，符合</w:t>
      </w:r>
      <w:r>
        <w:rPr>
          <w:rFonts w:hint="eastAsia" w:ascii="仿宋" w:hAnsi="仿宋" w:eastAsia="仿宋" w:cs="Arial"/>
          <w:kern w:val="0"/>
          <w:szCs w:val="28"/>
        </w:rPr>
        <w:t>华</w:t>
      </w:r>
      <w:r>
        <w:rPr>
          <w:rFonts w:ascii="仿宋" w:hAnsi="仿宋" w:eastAsia="仿宋" w:cs="Arial"/>
          <w:kern w:val="0"/>
          <w:szCs w:val="28"/>
        </w:rPr>
        <w:t>新安全要求。</w:t>
      </w:r>
      <w:r>
        <w:rPr>
          <w:rFonts w:hint="eastAsia" w:ascii="仿宋" w:hAnsi="仿宋" w:eastAsia="仿宋" w:cs="Arial"/>
          <w:kern w:val="0"/>
          <w:szCs w:val="28"/>
        </w:rPr>
        <w:t>应标文件里面所报设备型号、品牌和已使用年限将作为合同附件之一，并作为中标供应商进场检查依据，如不符合应标文件所报品牌型号等将视为违反合同，将按合同条款予以处罚或终止合同，并扣除合同履约保证金；</w:t>
      </w:r>
    </w:p>
    <w:p w14:paraId="120962A8">
      <w:pPr>
        <w:snapToGrid w:val="0"/>
        <w:ind w:firstLine="420" w:firstLineChars="200"/>
        <w:rPr>
          <w:rFonts w:ascii="仿宋" w:hAnsi="仿宋" w:eastAsia="仿宋" w:cs="Arial"/>
          <w:kern w:val="0"/>
          <w:szCs w:val="28"/>
        </w:rPr>
      </w:pPr>
      <w:r>
        <w:rPr>
          <w:rFonts w:hint="eastAsia" w:ascii="仿宋" w:hAnsi="仿宋" w:eastAsia="仿宋" w:cs="Arial"/>
          <w:kern w:val="0"/>
          <w:szCs w:val="28"/>
        </w:rPr>
        <w:t>19、为配合华新数字化矿山建设，所报设备应具备新增车载管理设备的接口。</w:t>
      </w:r>
    </w:p>
    <w:p w14:paraId="597A6954">
      <w:pPr>
        <w:snapToGrid w:val="0"/>
        <w:ind w:firstLine="420" w:firstLineChars="200"/>
        <w:rPr>
          <w:rFonts w:ascii="仿宋" w:hAnsi="仿宋" w:eastAsia="仿宋" w:cs="Arial"/>
          <w:kern w:val="0"/>
          <w:szCs w:val="28"/>
        </w:rPr>
      </w:pPr>
      <w:r>
        <w:rPr>
          <w:rFonts w:hint="eastAsia" w:ascii="仿宋" w:hAnsi="仿宋" w:eastAsia="仿宋" w:cs="Arial"/>
          <w:kern w:val="0"/>
          <w:szCs w:val="28"/>
        </w:rPr>
        <w:t>20、工厂矿山可提供充电场地但不负责电力接入，由中标方自行负责充电站建设及充电桩购置及配套设施安装。应选供应商如使用新能源设备需在应标文件里面详细写明（如总装机容量、充电桩的充电功率及数量等相关信息），以便评审时综合考量。</w:t>
      </w:r>
    </w:p>
    <w:p w14:paraId="3893F986">
      <w:pPr>
        <w:snapToGrid w:val="0"/>
        <w:ind w:firstLine="420" w:firstLineChars="200"/>
        <w:rPr>
          <w:rFonts w:ascii="仿宋" w:hAnsi="仿宋" w:eastAsia="仿宋" w:cs="Arial"/>
          <w:kern w:val="0"/>
          <w:szCs w:val="28"/>
        </w:rPr>
      </w:pPr>
    </w:p>
    <w:bookmarkEnd w:id="0"/>
    <w:bookmarkEnd w:id="1"/>
    <w:bookmarkEnd w:id="2"/>
    <w:p w14:paraId="1DB090B9">
      <w:pPr>
        <w:snapToGrid w:val="0"/>
        <w:spacing w:line="360" w:lineRule="auto"/>
        <w:jc w:val="center"/>
        <w:rPr>
          <w:rFonts w:ascii="楷体" w:hAnsi="楷体" w:eastAsia="楷体" w:cs="楷体"/>
          <w:b/>
          <w:kern w:val="0"/>
          <w:sz w:val="32"/>
          <w:szCs w:val="32"/>
        </w:rPr>
      </w:pPr>
      <w:r>
        <w:rPr>
          <w:rFonts w:hint="eastAsia" w:ascii="楷体" w:hAnsi="楷体" w:eastAsia="楷体" w:cs="楷体"/>
          <w:b/>
          <w:kern w:val="0"/>
          <w:sz w:val="32"/>
          <w:szCs w:val="32"/>
        </w:rPr>
        <w:t>第五部分  应选及报价流程</w:t>
      </w:r>
    </w:p>
    <w:p w14:paraId="473E4AB0">
      <w:pPr>
        <w:snapToGrid w:val="0"/>
        <w:spacing w:line="360" w:lineRule="auto"/>
        <w:rPr>
          <w:rFonts w:ascii="仿宋" w:hAnsi="仿宋" w:eastAsia="仿宋" w:cs="仿宋"/>
          <w:b/>
          <w:kern w:val="0"/>
          <w:sz w:val="22"/>
        </w:rPr>
      </w:pPr>
      <w:r>
        <w:rPr>
          <w:rFonts w:hint="eastAsia" w:ascii="仿宋" w:hAnsi="仿宋" w:eastAsia="仿宋" w:cs="仿宋"/>
          <w:b/>
          <w:kern w:val="0"/>
          <w:sz w:val="22"/>
        </w:rPr>
        <w:t>一、注册</w:t>
      </w:r>
    </w:p>
    <w:p w14:paraId="1D3EFD3F">
      <w:pPr>
        <w:snapToGrid w:val="0"/>
        <w:spacing w:line="360" w:lineRule="auto"/>
        <w:ind w:firstLine="442" w:firstLineChars="200"/>
        <w:rPr>
          <w:rStyle w:val="22"/>
          <w:rFonts w:ascii="仿宋" w:hAnsi="仿宋" w:eastAsia="仿宋" w:cs="仿宋"/>
          <w:b/>
          <w:color w:val="auto"/>
          <w:sz w:val="22"/>
        </w:rPr>
      </w:pPr>
      <w:r>
        <w:rPr>
          <w:rFonts w:hint="eastAsia" w:ascii="仿宋" w:hAnsi="仿宋" w:eastAsia="仿宋" w:cs="仿宋"/>
          <w:b/>
          <w:sz w:val="22"/>
          <w:u w:val="single"/>
        </w:rPr>
        <w:t>投标注册网址：</w:t>
      </w:r>
      <w:r>
        <w:fldChar w:fldCharType="begin"/>
      </w:r>
      <w:r>
        <w:instrText xml:space="preserve"> HYPERLINK "http://biz.huaxincem.com/hxbiz/home.do" </w:instrText>
      </w:r>
      <w:r>
        <w:fldChar w:fldCharType="separate"/>
      </w:r>
      <w:r>
        <w:rPr>
          <w:rStyle w:val="21"/>
          <w:rFonts w:hint="eastAsia" w:ascii="仿宋" w:hAnsi="仿宋" w:eastAsia="仿宋" w:cs="仿宋"/>
          <w:b/>
          <w:color w:val="auto"/>
          <w:sz w:val="22"/>
        </w:rPr>
        <w:t>http://biz.huaxincem.com/hxbiz/home.do</w:t>
      </w:r>
      <w:r>
        <w:rPr>
          <w:rStyle w:val="21"/>
          <w:rFonts w:hint="eastAsia" w:ascii="仿宋" w:hAnsi="仿宋" w:eastAsia="仿宋" w:cs="仿宋"/>
          <w:b/>
          <w:color w:val="auto"/>
          <w:sz w:val="22"/>
        </w:rPr>
        <w:fldChar w:fldCharType="end"/>
      </w:r>
    </w:p>
    <w:p w14:paraId="268E532A">
      <w:pPr>
        <w:numPr>
          <w:ilvl w:val="0"/>
          <w:numId w:val="7"/>
        </w:numPr>
        <w:snapToGrid w:val="0"/>
        <w:spacing w:line="360" w:lineRule="auto"/>
        <w:rPr>
          <w:rFonts w:ascii="仿宋" w:hAnsi="仿宋" w:eastAsia="仿宋" w:cs="仿宋"/>
          <w:b/>
          <w:kern w:val="0"/>
          <w:sz w:val="22"/>
        </w:rPr>
      </w:pPr>
      <w:r>
        <w:rPr>
          <w:rFonts w:hint="eastAsia" w:ascii="仿宋" w:hAnsi="仿宋" w:eastAsia="仿宋" w:cs="仿宋"/>
          <w:b/>
          <w:kern w:val="0"/>
          <w:sz w:val="22"/>
        </w:rPr>
        <w:t>查阅标书</w:t>
      </w:r>
    </w:p>
    <w:p w14:paraId="5A1E5576">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详见招选&amp;竞拍公告及相关附件。</w:t>
      </w:r>
    </w:p>
    <w:p w14:paraId="60FA3842">
      <w:pPr>
        <w:snapToGrid w:val="0"/>
        <w:spacing w:line="360" w:lineRule="auto"/>
        <w:rPr>
          <w:rFonts w:ascii="仿宋" w:hAnsi="仿宋" w:eastAsia="仿宋" w:cs="仿宋"/>
          <w:b/>
          <w:kern w:val="0"/>
          <w:sz w:val="22"/>
        </w:rPr>
      </w:pPr>
      <w:r>
        <w:rPr>
          <w:rFonts w:hint="eastAsia" w:ascii="仿宋" w:hAnsi="仿宋" w:eastAsia="仿宋" w:cs="仿宋"/>
          <w:b/>
          <w:kern w:val="0"/>
          <w:sz w:val="22"/>
        </w:rPr>
        <w:t>三、应选单位组织进行现场勘探：</w:t>
      </w:r>
    </w:p>
    <w:p w14:paraId="21DCB77E">
      <w:pPr>
        <w:snapToGrid w:val="0"/>
        <w:spacing w:line="360" w:lineRule="auto"/>
        <w:ind w:firstLine="442" w:firstLineChars="200"/>
        <w:rPr>
          <w:rFonts w:ascii="仿宋" w:hAnsi="仿宋" w:eastAsia="仿宋" w:cs="仿宋"/>
          <w:kern w:val="0"/>
          <w:sz w:val="22"/>
        </w:rPr>
      </w:pPr>
      <w:r>
        <w:rPr>
          <w:rFonts w:hint="eastAsia" w:ascii="仿宋" w:hAnsi="仿宋" w:eastAsia="仿宋" w:cs="仿宋"/>
          <w:b/>
          <w:bCs/>
          <w:color w:val="FF0000"/>
          <w:kern w:val="0"/>
          <w:sz w:val="22"/>
        </w:rPr>
        <w:t>1、应选单位必须进行现场踏勘，招选单位不统一组织勘探，视招选情况决定是否进行统一答疑。</w:t>
      </w:r>
    </w:p>
    <w:p w14:paraId="18DA23A2">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2、经招选单位允许，应选单位可以勘探为目的进入项目现场，产生的相关费用由应选单位自行承担。应选单位应注意安全以免发生意外，需自行承担勘探现场的相关安全等责任和风险，且不得因此使招选单位承担有关的责任和蒙受损失。</w:t>
      </w:r>
    </w:p>
    <w:p w14:paraId="00782097">
      <w:pPr>
        <w:snapToGrid w:val="0"/>
        <w:spacing w:line="360" w:lineRule="auto"/>
        <w:ind w:firstLine="442" w:firstLineChars="200"/>
        <w:rPr>
          <w:rFonts w:hint="default" w:ascii="宋体" w:hAnsi="宋体" w:eastAsia="仿宋" w:cs="宋体"/>
          <w:color w:val="auto"/>
          <w:kern w:val="0"/>
          <w:sz w:val="22"/>
          <w:szCs w:val="22"/>
          <w:lang w:val="en-US" w:eastAsia="zh-CN"/>
        </w:rPr>
      </w:pPr>
      <w:r>
        <w:rPr>
          <w:rFonts w:hint="eastAsia" w:ascii="仿宋" w:hAnsi="仿宋" w:eastAsia="仿宋" w:cs="仿宋"/>
          <w:b/>
          <w:bCs/>
          <w:color w:val="FF0000"/>
          <w:kern w:val="0"/>
          <w:sz w:val="22"/>
          <w:szCs w:val="22"/>
        </w:rPr>
        <w:t>3、应选单位需针对矿山现场开采的相关问题与工厂进行充分沟通与了解，应选单位持工厂现场负责人签字/盖章确认回执单应选</w:t>
      </w:r>
      <w:r>
        <w:rPr>
          <w:rFonts w:hint="eastAsia" w:ascii="仿宋" w:hAnsi="仿宋" w:eastAsia="仿宋" w:cs="仿宋"/>
          <w:b/>
          <w:bCs/>
          <w:color w:val="FF0000"/>
          <w:kern w:val="0"/>
          <w:sz w:val="22"/>
          <w:szCs w:val="22"/>
          <w:lang w:eastAsia="zh-CN"/>
        </w:rPr>
        <w:t>。</w:t>
      </w:r>
      <w:r>
        <w:rPr>
          <w:rFonts w:hint="eastAsia" w:ascii="仿宋" w:hAnsi="仿宋" w:eastAsia="仿宋" w:cs="仿宋"/>
          <w:b/>
          <w:bCs/>
          <w:color w:val="auto"/>
          <w:kern w:val="0"/>
          <w:sz w:val="22"/>
          <w:szCs w:val="22"/>
          <w:lang w:val="en-US" w:eastAsia="zh-CN"/>
        </w:rPr>
        <w:t>模版详见附件5：矿山踏勘到访回执单</w:t>
      </w:r>
    </w:p>
    <w:p w14:paraId="4EF3E29F">
      <w:pPr>
        <w:snapToGrid w:val="0"/>
        <w:spacing w:line="360" w:lineRule="auto"/>
        <w:rPr>
          <w:rFonts w:ascii="宋体" w:hAnsi="宋体"/>
          <w:b/>
          <w:color w:val="FF0000"/>
          <w:sz w:val="24"/>
          <w:szCs w:val="28"/>
        </w:rPr>
      </w:pPr>
      <w:r>
        <w:rPr>
          <w:rFonts w:hint="eastAsia" w:ascii="宋体" w:hAnsi="宋体" w:cs="宋体"/>
          <w:b/>
          <w:color w:val="FF0000"/>
          <w:kern w:val="0"/>
          <w:sz w:val="24"/>
          <w:szCs w:val="24"/>
        </w:rPr>
        <w:t>四、</w:t>
      </w:r>
      <w:r>
        <w:rPr>
          <w:rFonts w:hint="eastAsia" w:ascii="宋体" w:hAnsi="宋体"/>
          <w:b/>
          <w:color w:val="FF0000"/>
          <w:sz w:val="24"/>
          <w:szCs w:val="28"/>
        </w:rPr>
        <w:t>缴纳投标保证金：</w:t>
      </w:r>
    </w:p>
    <w:p w14:paraId="37F0C4B1">
      <w:pPr>
        <w:snapToGrid w:val="0"/>
        <w:spacing w:line="360" w:lineRule="auto"/>
        <w:ind w:firstLine="442" w:firstLineChars="200"/>
        <w:rPr>
          <w:rFonts w:ascii="仿宋" w:hAnsi="仿宋" w:eastAsia="仿宋" w:cs="仿宋"/>
          <w:b/>
          <w:bCs w:val="0"/>
          <w:color w:val="FF0000"/>
          <w:sz w:val="22"/>
        </w:rPr>
      </w:pPr>
      <w:r>
        <w:rPr>
          <w:rFonts w:hint="eastAsia" w:ascii="仿宋" w:hAnsi="仿宋" w:eastAsia="仿宋" w:cs="仿宋"/>
          <w:b/>
          <w:bCs w:val="0"/>
          <w:color w:val="FF0000"/>
          <w:sz w:val="22"/>
        </w:rPr>
        <w:t>1、收取：应选单位需在应选时资格审查前，按照要求采用银行转账或电汇等缴纳方式（不直接收取现金、个人存折），一次性足额存入投标保证金专用账户，并在进账凭证上写明投标项目名称、投标单位名称(全称)、联系人及联系方式，以便核对查实。</w:t>
      </w:r>
    </w:p>
    <w:p w14:paraId="66AC48EB">
      <w:pPr>
        <w:snapToGrid w:val="0"/>
        <w:spacing w:line="360" w:lineRule="auto"/>
        <w:ind w:firstLine="442" w:firstLineChars="200"/>
        <w:rPr>
          <w:rFonts w:ascii="仿宋" w:hAnsi="仿宋" w:eastAsia="仿宋" w:cs="仿宋"/>
          <w:b/>
          <w:bCs w:val="0"/>
          <w:color w:val="FF0000"/>
          <w:sz w:val="22"/>
        </w:rPr>
      </w:pPr>
      <w:r>
        <w:rPr>
          <w:rFonts w:hint="eastAsia" w:ascii="仿宋" w:hAnsi="仿宋" w:eastAsia="仿宋" w:cs="仿宋"/>
          <w:b/>
          <w:bCs w:val="0"/>
          <w:color w:val="FF0000"/>
          <w:sz w:val="22"/>
        </w:rPr>
        <w:t>2、退还：按照“原路退回”的原则，由</w:t>
      </w:r>
      <w:r>
        <w:rPr>
          <w:rFonts w:hint="eastAsia" w:ascii="仿宋" w:hAnsi="仿宋" w:eastAsia="仿宋" w:cs="仿宋"/>
          <w:b/>
          <w:bCs w:val="0"/>
          <w:color w:val="FF0000"/>
          <w:sz w:val="22"/>
          <w:lang w:val="en-US" w:eastAsia="zh-CN"/>
        </w:rPr>
        <w:t>宜昌</w:t>
      </w:r>
      <w:r>
        <w:rPr>
          <w:rFonts w:hint="eastAsia" w:ascii="仿宋" w:hAnsi="仿宋" w:eastAsia="仿宋" w:cs="仿宋"/>
          <w:b/>
          <w:bCs w:val="0"/>
          <w:color w:val="FF0000"/>
          <w:sz w:val="22"/>
        </w:rPr>
        <w:t>公司集中提出投标保证金无息退款的支付计划。</w:t>
      </w:r>
    </w:p>
    <w:p w14:paraId="71C5FD98">
      <w:pPr>
        <w:snapToGrid w:val="0"/>
        <w:spacing w:line="360" w:lineRule="auto"/>
        <w:rPr>
          <w:rFonts w:hint="eastAsia" w:ascii="仿宋" w:hAnsi="仿宋" w:eastAsia="仿宋" w:cs="仿宋"/>
          <w:b/>
          <w:bCs w:val="0"/>
          <w:color w:val="FF0000"/>
          <w:sz w:val="22"/>
        </w:rPr>
      </w:pPr>
      <w:r>
        <w:rPr>
          <w:rFonts w:hint="eastAsia" w:ascii="仿宋" w:hAnsi="仿宋" w:eastAsia="仿宋" w:cs="仿宋"/>
          <w:b/>
          <w:bCs w:val="0"/>
          <w:color w:val="FF0000"/>
          <w:sz w:val="22"/>
        </w:rPr>
        <w:t>未中标的投标人的投标保证金将在招标人与中标人签订合同后30日内退回其基本账户，中选单位的投标保证金自动转为合同履约保证金（含安全风险）,在合同履行完毕验收合格后</w:t>
      </w:r>
      <w:r>
        <w:rPr>
          <w:rFonts w:hint="eastAsia" w:ascii="仿宋" w:hAnsi="仿宋" w:eastAsia="仿宋" w:cs="仿宋"/>
          <w:b/>
          <w:bCs w:val="0"/>
          <w:color w:val="FF0000"/>
          <w:sz w:val="22"/>
          <w:lang w:val="en-US" w:eastAsia="zh-CN"/>
        </w:rPr>
        <w:t>30日内</w:t>
      </w:r>
      <w:r>
        <w:rPr>
          <w:rFonts w:hint="eastAsia" w:ascii="仿宋" w:hAnsi="仿宋" w:eastAsia="仿宋" w:cs="仿宋"/>
          <w:b/>
          <w:bCs w:val="0"/>
          <w:color w:val="FF0000"/>
          <w:sz w:val="22"/>
        </w:rPr>
        <w:t>无息、全额退还。</w:t>
      </w:r>
    </w:p>
    <w:p w14:paraId="098642F3">
      <w:pPr>
        <w:snapToGrid w:val="0"/>
        <w:ind w:firstLine="442" w:firstLineChars="200"/>
        <w:rPr>
          <w:rFonts w:ascii="仿宋" w:hAnsi="仿宋" w:eastAsia="仿宋" w:cs="Arial"/>
          <w:b/>
          <w:kern w:val="0"/>
          <w:sz w:val="22"/>
          <w:szCs w:val="28"/>
        </w:rPr>
      </w:pPr>
      <w:r>
        <w:rPr>
          <w:rFonts w:hint="eastAsia" w:ascii="仿宋" w:hAnsi="仿宋" w:eastAsia="仿宋" w:cs="Arial"/>
          <w:b/>
          <w:kern w:val="0"/>
          <w:sz w:val="22"/>
          <w:szCs w:val="28"/>
        </w:rPr>
        <w:t>3、投标保证金不予退还的情形</w:t>
      </w:r>
      <w:r>
        <w:rPr>
          <w:rFonts w:ascii="仿宋" w:hAnsi="仿宋" w:eastAsia="仿宋" w:cs="Arial"/>
          <w:b/>
          <w:kern w:val="0"/>
          <w:sz w:val="22"/>
          <w:szCs w:val="28"/>
        </w:rPr>
        <w:t>：</w:t>
      </w:r>
    </w:p>
    <w:p w14:paraId="75D78FD3">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1）应选供应商在应选过程中提供虚假的身份信息、资质证书、业绩证明、财务数据、检测报告、自评材料或其他重要文件；或与其他供应商、评审人员恶意串通、围标串标、弄虚作假，损害招选活动公正性的。</w:t>
      </w:r>
    </w:p>
    <w:p w14:paraId="3FDCA581">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（2）在招选人组织的安全资格现场评审中，应选供应商提交的自评（自测）结果与现场核查的实际情况存在重大偏差，被认定为提供虚假或不实安全资质信息的。</w:t>
      </w:r>
    </w:p>
    <w:p w14:paraId="24428A70">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3）应选单位在应选（含竞拍）过程中的报价严重偏离市场行情或招选人公布的参考价格区间，经招选人合理审核认定为缺乏应选诚意或构成恶意报价的。适用本项时，招选人应提供同期同类市场参考价格依据。</w:t>
      </w:r>
    </w:p>
    <w:p w14:paraId="1E7F2236">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（4）应选单位在应选有效期或公告规定的报价锁定期间，无正当理由单方撤销、撤回或实质性修改其报价的。</w:t>
      </w:r>
    </w:p>
    <w:p w14:paraId="16EF5255">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（5）应选单位在报价后，拒绝遵循招选公告中载明的反算原则、价格构成规则、计算方式或调价机制，导致无法确定最终合同价款或结算依据的。</w:t>
      </w:r>
    </w:p>
    <w:p w14:paraId="24FB0843">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（6）中选单位在收到中标（中选）通知书后，无正当理由放弃中选资格、拒绝签订合同，或未在公告/通知书规定的期限内签订合同的。</w:t>
      </w:r>
    </w:p>
    <w:p w14:paraId="7AB79625">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（7）中选单位在签订合同时，无正当理由向招选人提出附加条件，或要求更改合同标的、价款、质量、履行期限、违约责任等实质性条款的。</w:t>
      </w:r>
    </w:p>
    <w:p w14:paraId="68AFE2FF">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（8）中选单位未按照招选公告或中选通知书的约定，在规定期限和方式内足额缴纳履约保证金或其他约定保证金的。</w:t>
      </w:r>
    </w:p>
    <w:p w14:paraId="79B34C68">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（9）中选单位未按照招选公告或招选人要求的时间签订采购合同，并完成内部备案或相关行政审批程序的。</w:t>
      </w:r>
    </w:p>
    <w:p w14:paraId="221ADF28">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（10）应选（中选）单位存在违法违规行为，导致本次招选程序、评审结果或中选结果被有权机关依法认定无效、撤销或宣布作废的。</w:t>
      </w:r>
    </w:p>
    <w:p w14:paraId="04C3DBBF">
      <w:pPr>
        <w:snapToGrid w:val="0"/>
        <w:ind w:firstLine="440" w:firstLineChars="200"/>
        <w:rPr>
          <w:rFonts w:ascii="仿宋" w:hAnsi="仿宋" w:eastAsia="仿宋" w:cs="Arial"/>
          <w:kern w:val="0"/>
          <w:sz w:val="22"/>
          <w:szCs w:val="28"/>
        </w:rPr>
      </w:pPr>
      <w:r>
        <w:rPr>
          <w:rFonts w:hint="eastAsia" w:ascii="仿宋" w:hAnsi="仿宋" w:eastAsia="仿宋" w:cs="Arial"/>
          <w:kern w:val="0"/>
          <w:sz w:val="22"/>
          <w:szCs w:val="28"/>
        </w:rPr>
        <w:t>（11）其他因应选（中选）单位过错导致合同无法签订，或存在其他违反法律法规、招选公告及本合同约定，经查证属实且应适用投标保证金担保范围的行为。</w:t>
      </w:r>
    </w:p>
    <w:p w14:paraId="2DAB8003">
      <w:pPr>
        <w:snapToGrid w:val="0"/>
        <w:ind w:firstLine="442" w:firstLineChars="200"/>
        <w:rPr>
          <w:rFonts w:ascii="仿宋" w:hAnsi="仿宋" w:eastAsia="仿宋" w:cs="Arial"/>
          <w:b/>
          <w:kern w:val="0"/>
          <w:sz w:val="22"/>
          <w:szCs w:val="28"/>
        </w:rPr>
      </w:pPr>
      <w:r>
        <w:rPr>
          <w:rFonts w:hint="eastAsia" w:ascii="仿宋" w:hAnsi="仿宋" w:eastAsia="仿宋" w:cs="Arial"/>
          <w:b/>
          <w:kern w:val="0"/>
          <w:sz w:val="22"/>
          <w:szCs w:val="28"/>
        </w:rPr>
        <w:t>4、履约保证金不予退还的情形</w:t>
      </w:r>
      <w:r>
        <w:rPr>
          <w:rFonts w:ascii="仿宋" w:hAnsi="仿宋" w:eastAsia="仿宋" w:cs="Arial"/>
          <w:b/>
          <w:kern w:val="0"/>
          <w:sz w:val="22"/>
          <w:szCs w:val="28"/>
        </w:rPr>
        <w:t>：</w:t>
      </w:r>
    </w:p>
    <w:p w14:paraId="7BB92576">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（1）中选单位未经招选人书面同意，将中选项目全部转让、转包或违规分包给他人的（法律法规允许且招选公告中明确允许的分包除外）。</w:t>
      </w:r>
    </w:p>
    <w:p w14:paraId="665485D6">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（2）中选单位提供的产品、服务或工程成果不符合合同约定的质量标准、技术规范或验收要求，且拒绝返工、更换或采取有效补救措施的。</w:t>
      </w:r>
    </w:p>
    <w:p w14:paraId="2ADB6BE4">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（3）因中选单位原因导致工程延期、交货延迟或服务中断，严重影响招选人生产经营或项目进度的。</w:t>
      </w:r>
    </w:p>
    <w:p w14:paraId="12DCBF11">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（4）中选单位在施工、安装、服务过程中违反安全规范、环保要求或招选人现场管理制度，造成安全事故、环境污染或重大不良影响的。</w:t>
      </w:r>
    </w:p>
    <w:p w14:paraId="5984E70E">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（5）中选单位在履约过程中侵犯招选人或第三方知识产权、商业秘密或其他合法权益的。</w:t>
      </w:r>
    </w:p>
    <w:p w14:paraId="19165E77">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（6）中选单位及其关联人员存在商业贿赂、利益输送、行贿受贿或其他不正当交易行为的。</w:t>
      </w:r>
    </w:p>
    <w:p w14:paraId="0B7CFCB8">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（7）中选单位被列入失信被执行人名单、重大税收违法案件当事人名单、政府采购严重违法失信行为记录名单等，影响合同正常履行的。</w:t>
      </w:r>
    </w:p>
    <w:p w14:paraId="7B723A26">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（8）中选单位在合同履行期间无正当理由单方面停工、解除合同、擅自退场的。</w:t>
      </w:r>
    </w:p>
    <w:p w14:paraId="50ED28BF">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（9）中选单位未按合同约定履行义务，经招选人书面催告后在合理期限内仍未改正的。</w:t>
      </w:r>
    </w:p>
    <w:p w14:paraId="643C0B72">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10）因中选单位原因给招选人造成经济损失，且该损失金额经双方确认或经有效法律文书认定后，中选单位应赔偿但拒不赔偿或无力赔偿的，招选人有权以履约保证金优先抵偿；保证金不足以弥补损失的，招选人有权继续追偿差额部分。</w:t>
      </w:r>
    </w:p>
    <w:p w14:paraId="522D6365">
      <w:pPr>
        <w:snapToGrid w:val="0"/>
        <w:ind w:firstLine="440" w:firstLineChars="200"/>
        <w:rPr>
          <w:rFonts w:ascii="仿宋" w:hAnsi="仿宋" w:eastAsia="仿宋" w:cs="Arial"/>
          <w:kern w:val="0"/>
          <w:sz w:val="22"/>
          <w:szCs w:val="28"/>
        </w:rPr>
      </w:pPr>
      <w:r>
        <w:rPr>
          <w:rFonts w:hint="eastAsia" w:ascii="仿宋" w:hAnsi="仿宋" w:eastAsia="仿宋" w:cs="Arial"/>
          <w:kern w:val="0"/>
          <w:sz w:val="22"/>
          <w:szCs w:val="28"/>
        </w:rPr>
        <w:t>（11）其他因中选单位过错导致合同无法履行或履行严重受阻，或存在其他违反法律法规、招选公告及本合同约定，经查证属实且应适用履约保证金担保范围的行为。</w:t>
      </w:r>
    </w:p>
    <w:p w14:paraId="56F5B026">
      <w:pPr>
        <w:snapToGrid w:val="0"/>
        <w:ind w:firstLine="442" w:firstLineChars="200"/>
        <w:rPr>
          <w:rFonts w:ascii="仿宋" w:hAnsi="仿宋" w:eastAsia="仿宋" w:cs="Arial"/>
          <w:b/>
          <w:kern w:val="0"/>
          <w:sz w:val="22"/>
          <w:szCs w:val="28"/>
        </w:rPr>
      </w:pPr>
      <w:r>
        <w:rPr>
          <w:rFonts w:hint="eastAsia" w:ascii="仿宋" w:hAnsi="仿宋" w:eastAsia="仿宋" w:cs="Arial"/>
          <w:b/>
          <w:kern w:val="0"/>
          <w:sz w:val="22"/>
          <w:szCs w:val="28"/>
        </w:rPr>
        <w:t>5、其他约定：</w:t>
      </w:r>
    </w:p>
    <w:p w14:paraId="34B1AE90">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（1）以上所列各项不予退还情形，应选（中选）单位只要具备其中之一，招选人即可单独或合并适用。</w:t>
      </w:r>
    </w:p>
    <w:p w14:paraId="3DE4FD6A">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（2）招选人依据本条款不予退还保证金的，不影响其依据合同或法律规定主张其他违约责任及损害赔偿的权利。</w:t>
      </w:r>
    </w:p>
    <w:p w14:paraId="3816D699">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（3）本条款的效力独立于合同其他条款，即使合同被解除、终止或认定无效，本条款中关于保证金处置的约定仍然有效。</w:t>
      </w:r>
    </w:p>
    <w:p w14:paraId="4C372937">
      <w:pPr>
        <w:snapToGrid w:val="0"/>
        <w:ind w:firstLine="440" w:firstLineChars="200"/>
        <w:rPr>
          <w:rFonts w:hint="eastAsia" w:ascii="仿宋" w:hAnsi="仿宋" w:eastAsia="仿宋" w:cs="Arial"/>
          <w:kern w:val="0"/>
          <w:sz w:val="22"/>
          <w:szCs w:val="28"/>
        </w:rPr>
      </w:pPr>
      <w:r>
        <w:rPr>
          <w:rFonts w:hint="eastAsia" w:ascii="仿宋" w:hAnsi="仿宋" w:eastAsia="仿宋" w:cs="Arial"/>
          <w:kern w:val="0"/>
          <w:sz w:val="22"/>
          <w:szCs w:val="28"/>
        </w:rPr>
        <w:t>（4）保证金不足以抵扣应选（中选）单位应承担的违约金、赔偿金或其他费用的，招选人有权在应付合同款项中继续扣减，或另行追偿。</w:t>
      </w:r>
    </w:p>
    <w:p w14:paraId="45748705">
      <w:pPr>
        <w:snapToGrid w:val="0"/>
        <w:ind w:firstLine="440" w:firstLineChars="200"/>
        <w:rPr>
          <w:rFonts w:hint="eastAsia" w:ascii="仿宋" w:hAnsi="仿宋" w:eastAsia="仿宋" w:cs="Arial"/>
          <w:kern w:val="0"/>
          <w:sz w:val="22"/>
          <w:szCs w:val="28"/>
        </w:rPr>
      </w:pPr>
    </w:p>
    <w:p w14:paraId="2A68B0A0">
      <w:pPr>
        <w:snapToGrid w:val="0"/>
        <w:spacing w:line="360" w:lineRule="auto"/>
        <w:rPr>
          <w:rFonts w:ascii="仿宋" w:hAnsi="仿宋" w:eastAsia="仿宋" w:cs="仿宋"/>
          <w:b/>
          <w:sz w:val="22"/>
        </w:rPr>
      </w:pPr>
      <w:r>
        <w:rPr>
          <w:rFonts w:hint="eastAsia" w:ascii="仿宋" w:hAnsi="仿宋" w:eastAsia="仿宋" w:cs="仿宋"/>
          <w:b/>
          <w:sz w:val="22"/>
        </w:rPr>
        <w:t>五、应选</w:t>
      </w:r>
    </w:p>
    <w:p w14:paraId="7F0EEB89">
      <w:pPr>
        <w:adjustRightInd w:val="0"/>
        <w:snapToGrid w:val="0"/>
        <w:spacing w:line="300" w:lineRule="auto"/>
        <w:ind w:firstLine="440" w:firstLineChars="200"/>
        <w:rPr>
          <w:rFonts w:ascii="仿宋" w:hAnsi="仿宋" w:eastAsia="仿宋" w:cs="仿宋"/>
          <w:b/>
          <w:bCs/>
          <w:sz w:val="22"/>
        </w:rPr>
      </w:pPr>
      <w:r>
        <w:rPr>
          <w:rFonts w:hint="eastAsia" w:ascii="仿宋" w:hAnsi="仿宋" w:eastAsia="仿宋" w:cs="仿宋"/>
          <w:sz w:val="22"/>
        </w:rPr>
        <w:t>在华新招标平台完成供应商登录、进入招选公告，点击我要投标、上传投标单位应选文件、业绩证明等文件）一并压缩打包（系统上传需小于10M）；若文件大于10M，可将材料发至</w:t>
      </w:r>
      <w:r>
        <w:rPr>
          <w:rFonts w:hint="eastAsia" w:ascii="仿宋" w:hAnsi="仿宋" w:eastAsia="仿宋" w:cs="仿宋"/>
          <w:b/>
          <w:bCs/>
          <w:kern w:val="0"/>
          <w:sz w:val="22"/>
          <w:highlight w:val="yellow"/>
        </w:rPr>
        <w:t>邮箱：majianzhong@huaxincem.com</w:t>
      </w:r>
    </w:p>
    <w:p w14:paraId="0BD30941">
      <w:pPr>
        <w:snapToGrid w:val="0"/>
        <w:spacing w:line="360" w:lineRule="auto"/>
        <w:ind w:firstLine="442" w:firstLineChars="200"/>
        <w:rPr>
          <w:rFonts w:hint="eastAsia" w:ascii="宋体" w:hAnsi="宋体" w:eastAsia="宋体"/>
          <w:b/>
          <w:bCs/>
          <w:color w:val="FF0000"/>
          <w:sz w:val="24"/>
          <w:szCs w:val="28"/>
          <w:lang w:eastAsia="zh-CN"/>
        </w:rPr>
      </w:pPr>
      <w:r>
        <w:rPr>
          <w:rFonts w:hint="eastAsia" w:ascii="仿宋" w:hAnsi="仿宋" w:eastAsia="仿宋" w:cs="仿宋"/>
          <w:b/>
          <w:color w:val="FF0000"/>
          <w:kern w:val="0"/>
          <w:sz w:val="22"/>
        </w:rPr>
        <w:t>应选文件</w:t>
      </w:r>
      <w:r>
        <w:rPr>
          <w:rFonts w:hint="eastAsia" w:ascii="仿宋" w:hAnsi="仿宋" w:eastAsia="仿宋" w:cs="仿宋"/>
          <w:b/>
          <w:bCs/>
          <w:color w:val="FF0000"/>
          <w:sz w:val="22"/>
        </w:rPr>
        <w:t>格式及具体要求见附件</w:t>
      </w:r>
      <w:r>
        <w:rPr>
          <w:rFonts w:hint="eastAsia" w:ascii="仿宋" w:hAnsi="仿宋" w:eastAsia="仿宋" w:cs="仿宋"/>
          <w:b/>
          <w:bCs/>
          <w:color w:val="FF0000"/>
          <w:sz w:val="22"/>
          <w:lang w:val="en-US" w:eastAsia="zh-CN"/>
        </w:rPr>
        <w:t>6</w:t>
      </w:r>
      <w:r>
        <w:rPr>
          <w:rFonts w:hint="eastAsia" w:ascii="仿宋" w:hAnsi="仿宋" w:eastAsia="仿宋" w:cs="仿宋"/>
          <w:b/>
          <w:bCs/>
          <w:color w:val="FF0000"/>
          <w:sz w:val="22"/>
        </w:rPr>
        <w:t>：应选文件模板，应选文件上传时均需上传加盖公章的PDF扫描件（禁止使用电子章）</w:t>
      </w:r>
    </w:p>
    <w:p w14:paraId="6039B7A4">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2、在华新招标平台完成供应商登录、进入招选公告，点击我要投标、进行应选（上传应选单位打包的应选材料）。</w:t>
      </w:r>
    </w:p>
    <w:p w14:paraId="13801C96">
      <w:pPr>
        <w:snapToGrid w:val="0"/>
        <w:spacing w:line="360" w:lineRule="auto"/>
        <w:rPr>
          <w:rFonts w:ascii="仿宋" w:hAnsi="仿宋" w:eastAsia="仿宋" w:cs="仿宋"/>
          <w:b/>
          <w:kern w:val="0"/>
          <w:sz w:val="22"/>
        </w:rPr>
      </w:pPr>
      <w:r>
        <w:rPr>
          <w:rFonts w:hint="eastAsia" w:ascii="仿宋" w:hAnsi="仿宋" w:eastAsia="仿宋" w:cs="仿宋"/>
          <w:b/>
          <w:kern w:val="0"/>
          <w:sz w:val="22"/>
        </w:rPr>
        <w:t>六、等待审核</w:t>
      </w:r>
    </w:p>
    <w:p w14:paraId="3F8A1E40">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招标单位进行资质合规性审核，审核通过后，应选单位方可网上报价。如资质审核未通过，可在相应备注栏查看未能入围的原因，按照要求及时补充资质或材料后，可再次提交审核。</w:t>
      </w:r>
    </w:p>
    <w:p w14:paraId="39FC0047">
      <w:pPr>
        <w:snapToGrid w:val="0"/>
        <w:spacing w:line="360" w:lineRule="auto"/>
        <w:rPr>
          <w:rFonts w:ascii="仿宋" w:hAnsi="仿宋" w:eastAsia="仿宋" w:cs="仿宋"/>
          <w:b/>
          <w:kern w:val="0"/>
          <w:sz w:val="22"/>
        </w:rPr>
      </w:pPr>
      <w:r>
        <w:rPr>
          <w:rFonts w:hint="eastAsia" w:ascii="仿宋" w:hAnsi="仿宋" w:eastAsia="仿宋" w:cs="仿宋"/>
          <w:b/>
          <w:kern w:val="0"/>
          <w:sz w:val="22"/>
        </w:rPr>
        <w:t>七-1、（招选单位组织）开展应选单位现场调研（视招选&amp;竞拍项目实际情况决定是否进行）：</w:t>
      </w:r>
    </w:p>
    <w:p w14:paraId="7D954989">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1、招选单位统一组织应选单位的现场调研，加深对应选单位的了解（分为商务和现场实地考察两个部分），公平、合理评价应选单位。</w:t>
      </w:r>
    </w:p>
    <w:p w14:paraId="54BAB4A7">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 xml:space="preserve">2、商务考察：应选单位需实际情况填写本单位的相关信息，并在考察前反馈至招选单位； </w:t>
      </w:r>
    </w:p>
    <w:p w14:paraId="0D0534D9">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 xml:space="preserve">3、现场实地考察： </w:t>
      </w:r>
    </w:p>
    <w:p w14:paraId="4FD27457">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(1)应选单位提供目前正在进行的项目清单（包含项目名称、地址、合同方、年产量、业务类型等相关信息），以便招选单位确认考察地点；</w:t>
      </w:r>
    </w:p>
    <w:p w14:paraId="78117E0A">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(2) 招选单位的考察人员对矿山现场项目进行实地走访，对该项目实施过程中的安全管理、现场管理、生产运行、制度建设、设备配置、维修能力等进行多维度的沟通与交流。</w:t>
      </w:r>
    </w:p>
    <w:p w14:paraId="55F900EE">
      <w:pPr>
        <w:snapToGrid w:val="0"/>
        <w:spacing w:line="360" w:lineRule="auto"/>
        <w:ind w:firstLine="440" w:firstLineChars="200"/>
        <w:rPr>
          <w:rFonts w:hint="eastAsia" w:ascii="仿宋" w:hAnsi="仿宋" w:eastAsia="仿宋" w:cs="仿宋"/>
          <w:kern w:val="0"/>
          <w:sz w:val="22"/>
        </w:rPr>
      </w:pPr>
      <w:r>
        <w:rPr>
          <w:rFonts w:hint="eastAsia" w:ascii="仿宋" w:hAnsi="仿宋" w:eastAsia="仿宋" w:cs="仿宋"/>
          <w:kern w:val="0"/>
          <w:sz w:val="22"/>
        </w:rPr>
        <w:t>4、无特殊情况，前期已考察的应选单位不需重复再去。</w:t>
      </w:r>
    </w:p>
    <w:p w14:paraId="18386ADA">
      <w:pPr>
        <w:snapToGrid w:val="0"/>
        <w:spacing w:line="360" w:lineRule="auto"/>
        <w:rPr>
          <w:rFonts w:hint="eastAsia" w:ascii="仿宋" w:hAnsi="仿宋" w:eastAsia="仿宋" w:cs="仿宋"/>
          <w:b/>
          <w:kern w:val="0"/>
          <w:sz w:val="22"/>
          <w:szCs w:val="22"/>
          <w:lang w:val="en-US" w:eastAsia="zh-CN"/>
        </w:rPr>
      </w:pPr>
      <w:r>
        <w:rPr>
          <w:rFonts w:hint="eastAsia" w:ascii="仿宋" w:hAnsi="仿宋" w:eastAsia="仿宋" w:cs="仿宋"/>
          <w:b/>
          <w:kern w:val="0"/>
          <w:sz w:val="22"/>
          <w:szCs w:val="22"/>
        </w:rPr>
        <w:t>八、准备技术评审资料：</w:t>
      </w:r>
      <w:r>
        <w:rPr>
          <w:rFonts w:hint="eastAsia" w:ascii="仿宋" w:hAnsi="仿宋" w:eastAsia="仿宋" w:cs="仿宋"/>
          <w:kern w:val="0"/>
          <w:sz w:val="22"/>
          <w:szCs w:val="22"/>
        </w:rPr>
        <w:t>应选单位需对招标内容进行响应，编制详细的技术文件。按照第一部分招选信息第五条（</w:t>
      </w:r>
      <w:r>
        <w:rPr>
          <w:rFonts w:hint="eastAsia" w:ascii="仿宋" w:hAnsi="仿宋" w:eastAsia="仿宋" w:cs="仿宋"/>
          <w:snapToGrid w:val="0"/>
          <w:sz w:val="22"/>
          <w:szCs w:val="22"/>
        </w:rPr>
        <w:t>工程质量要求）的要求提供相关技术资料，以及</w:t>
      </w:r>
      <w:r>
        <w:rPr>
          <w:rFonts w:hint="eastAsia" w:ascii="仿宋" w:hAnsi="仿宋" w:eastAsia="仿宋" w:cs="仿宋"/>
          <w:kern w:val="0"/>
          <w:sz w:val="22"/>
          <w:szCs w:val="22"/>
        </w:rPr>
        <w:t>资质、业绩等资料，单独压缩打包后成为技术文件上传，以便进行技术合理性评审。</w:t>
      </w:r>
      <w:r>
        <w:rPr>
          <w:rFonts w:hint="eastAsia" w:ascii="仿宋" w:hAnsi="仿宋" w:eastAsia="仿宋" w:cs="仿宋"/>
          <w:kern w:val="0"/>
          <w:sz w:val="22"/>
          <w:szCs w:val="22"/>
          <w:lang w:val="en-US" w:eastAsia="zh-CN"/>
        </w:rPr>
        <w:t>编制模版详见</w:t>
      </w:r>
      <w:r>
        <w:rPr>
          <w:rFonts w:hint="eastAsia" w:ascii="仿宋" w:hAnsi="仿宋" w:eastAsia="仿宋" w:cs="仿宋"/>
          <w:b/>
          <w:bCs/>
          <w:color w:val="FF0000"/>
          <w:kern w:val="0"/>
          <w:sz w:val="22"/>
          <w:szCs w:val="22"/>
          <w:lang w:val="en-US" w:eastAsia="zh-CN"/>
        </w:rPr>
        <w:t>附件7：技术投标材料相关内容。</w:t>
      </w:r>
    </w:p>
    <w:p w14:paraId="14DE509D">
      <w:pPr>
        <w:pStyle w:val="53"/>
        <w:adjustRightInd w:val="0"/>
        <w:snapToGrid w:val="0"/>
        <w:spacing w:line="360" w:lineRule="auto"/>
        <w:ind w:left="785" w:firstLine="0" w:firstLineChars="0"/>
        <w:rPr>
          <w:rFonts w:hint="eastAsia" w:ascii="仿宋" w:hAnsi="仿宋" w:eastAsia="仿宋" w:cs="仿宋"/>
          <w:kern w:val="0"/>
          <w:sz w:val="22"/>
          <w:szCs w:val="22"/>
        </w:rPr>
      </w:pPr>
      <w:r>
        <w:rPr>
          <w:rFonts w:hint="eastAsia" w:ascii="仿宋" w:hAnsi="仿宋" w:eastAsia="仿宋" w:cs="仿宋"/>
          <w:i/>
          <w:kern w:val="0"/>
          <w:sz w:val="22"/>
          <w:szCs w:val="22"/>
        </w:rPr>
        <w:t>注：如因应选单位自行放入报价文件，导致价格泄露，招选单位不负有任何责任。</w:t>
      </w:r>
    </w:p>
    <w:p w14:paraId="50068F7D">
      <w:pPr>
        <w:snapToGrid w:val="0"/>
        <w:spacing w:line="360" w:lineRule="auto"/>
        <w:rPr>
          <w:rFonts w:hint="eastAsia" w:ascii="仿宋" w:hAnsi="仿宋" w:eastAsia="仿宋" w:cs="仿宋"/>
          <w:b/>
          <w:kern w:val="0"/>
          <w:sz w:val="22"/>
          <w:szCs w:val="22"/>
        </w:rPr>
      </w:pPr>
      <w:r>
        <w:rPr>
          <w:rFonts w:hint="eastAsia" w:ascii="仿宋" w:hAnsi="仿宋" w:eastAsia="仿宋" w:cs="仿宋"/>
          <w:b/>
          <w:kern w:val="0"/>
          <w:sz w:val="22"/>
          <w:szCs w:val="22"/>
        </w:rPr>
        <w:t>九、招选报价：</w:t>
      </w:r>
    </w:p>
    <w:p w14:paraId="01EC366B">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1、应选单位从网页上下载报价表模板，根据现场勘探的实际情况与本单位的运营模式，按要求仔细填报各项单价及其成本组成明细，并保存报价表的电子档及盖章扫描件两个版本；</w:t>
      </w:r>
    </w:p>
    <w:p w14:paraId="3CAA535C">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2、进行网页报价：点击“我要投标”进入报价系统，只需在网上系统内的表格上填写</w:t>
      </w:r>
      <w:r>
        <w:rPr>
          <w:rFonts w:hint="eastAsia" w:ascii="仿宋" w:hAnsi="仿宋" w:eastAsia="仿宋" w:cs="仿宋"/>
          <w:kern w:val="0"/>
          <w:sz w:val="22"/>
          <w:szCs w:val="22"/>
          <w:lang w:val="en-US" w:eastAsia="zh-CN"/>
        </w:rPr>
        <w:t>含税总价</w:t>
      </w:r>
      <w:r>
        <w:rPr>
          <w:rFonts w:hint="eastAsia" w:ascii="仿宋" w:hAnsi="仿宋" w:eastAsia="仿宋" w:cs="仿宋"/>
          <w:kern w:val="0"/>
          <w:sz w:val="22"/>
          <w:szCs w:val="22"/>
        </w:rPr>
        <w:t>。</w:t>
      </w:r>
    </w:p>
    <w:p w14:paraId="5D1E446C">
      <w:pPr>
        <w:snapToGrid w:val="0"/>
        <w:spacing w:line="360" w:lineRule="auto"/>
        <w:ind w:firstLine="442" w:firstLineChars="200"/>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(1)当网页版与</w:t>
      </w:r>
      <w:r>
        <w:rPr>
          <w:rFonts w:hint="eastAsia" w:ascii="仿宋" w:hAnsi="仿宋" w:eastAsia="仿宋" w:cs="仿宋"/>
          <w:b/>
          <w:bCs/>
          <w:color w:val="FF0000"/>
          <w:kern w:val="0"/>
          <w:sz w:val="22"/>
          <w:szCs w:val="22"/>
          <w:lang w:val="en-US" w:eastAsia="zh-CN"/>
        </w:rPr>
        <w:t>附件报价表</w:t>
      </w:r>
      <w:r>
        <w:rPr>
          <w:rFonts w:hint="eastAsia" w:ascii="仿宋" w:hAnsi="仿宋" w:eastAsia="仿宋" w:cs="仿宋"/>
          <w:b/>
          <w:bCs/>
          <w:color w:val="FF0000"/>
          <w:kern w:val="0"/>
          <w:sz w:val="22"/>
          <w:szCs w:val="22"/>
        </w:rPr>
        <w:t>信息发生不一致时，</w:t>
      </w:r>
      <w:r>
        <w:rPr>
          <w:rFonts w:hint="eastAsia" w:ascii="仿宋" w:hAnsi="仿宋" w:eastAsia="仿宋" w:cs="仿宋"/>
          <w:b/>
          <w:bCs/>
          <w:color w:val="FF0000"/>
          <w:kern w:val="0"/>
          <w:sz w:val="22"/>
          <w:szCs w:val="22"/>
          <w:lang w:val="en-US" w:eastAsia="zh-CN"/>
        </w:rPr>
        <w:t>以加盖公章的附件</w:t>
      </w:r>
      <w:r>
        <w:rPr>
          <w:rFonts w:hint="eastAsia" w:ascii="仿宋" w:hAnsi="仿宋" w:eastAsia="仿宋" w:cs="仿宋"/>
          <w:b/>
          <w:bCs/>
          <w:color w:val="FF0000"/>
          <w:kern w:val="0"/>
          <w:sz w:val="22"/>
          <w:szCs w:val="22"/>
        </w:rPr>
        <w:t>报价信息为准；</w:t>
      </w:r>
    </w:p>
    <w:p w14:paraId="4CEDE5F0">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(2)每一个工序的包干含税单价均包含：人工费、设备折旧费、设备维修费、燃油消耗费、其他耗材、管理费及税金等一切费用。并在报价时，需将综合管理成本细分至各个分项，保证单项成本合理；</w:t>
      </w:r>
    </w:p>
    <w:p w14:paraId="145EA56F">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(3)在投标人递交投标书时，招标人视为投标人完全接受招标文件之规定，投标人的报价必须是完全基于招标文件之上进行的。</w:t>
      </w:r>
    </w:p>
    <w:p w14:paraId="7D39A9C9">
      <w:pPr>
        <w:snapToGrid w:val="0"/>
        <w:spacing w:line="360" w:lineRule="auto"/>
        <w:ind w:firstLine="442" w:firstLineChars="200"/>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3、将评审材料（</w:t>
      </w:r>
      <w:r>
        <w:rPr>
          <w:rFonts w:hint="eastAsia" w:ascii="仿宋" w:hAnsi="仿宋" w:eastAsia="仿宋" w:cs="仿宋"/>
          <w:b/>
          <w:bCs/>
          <w:color w:val="FF0000"/>
          <w:kern w:val="0"/>
          <w:sz w:val="22"/>
          <w:szCs w:val="22"/>
          <w:lang w:val="en-US" w:eastAsia="zh-CN"/>
        </w:rPr>
        <w:t>附件9：技术投标材料相关内容——</w:t>
      </w:r>
      <w:r>
        <w:rPr>
          <w:rFonts w:hint="eastAsia" w:ascii="仿宋" w:hAnsi="仿宋" w:eastAsia="仿宋" w:cs="仿宋"/>
          <w:b/>
          <w:bCs/>
          <w:color w:val="FF0000"/>
          <w:kern w:val="0"/>
          <w:sz w:val="22"/>
          <w:szCs w:val="22"/>
        </w:rPr>
        <w:t>施工技术方案、装备配置、人员组织结构、施工业绩）、</w:t>
      </w:r>
      <w:r>
        <w:rPr>
          <w:rFonts w:hint="eastAsia" w:ascii="仿宋" w:hAnsi="仿宋" w:eastAsia="仿宋" w:cs="仿宋"/>
          <w:b/>
          <w:bCs/>
          <w:color w:val="FF0000"/>
          <w:kern w:val="0"/>
          <w:sz w:val="22"/>
          <w:szCs w:val="22"/>
          <w:lang w:val="en-US" w:eastAsia="zh-CN"/>
        </w:rPr>
        <w:t>附件2：工程量清单及</w:t>
      </w:r>
      <w:r>
        <w:rPr>
          <w:rFonts w:hint="eastAsia" w:ascii="仿宋" w:hAnsi="仿宋" w:eastAsia="仿宋" w:cs="仿宋"/>
          <w:b/>
          <w:bCs/>
          <w:color w:val="FF0000"/>
          <w:kern w:val="0"/>
          <w:sz w:val="22"/>
          <w:szCs w:val="22"/>
        </w:rPr>
        <w:t>报价</w:t>
      </w:r>
      <w:r>
        <w:rPr>
          <w:rFonts w:hint="eastAsia" w:ascii="仿宋" w:hAnsi="仿宋" w:eastAsia="仿宋" w:cs="仿宋"/>
          <w:b/>
          <w:bCs/>
          <w:color w:val="FF0000"/>
          <w:kern w:val="0"/>
          <w:sz w:val="22"/>
          <w:szCs w:val="22"/>
          <w:lang w:val="en-US" w:eastAsia="zh-CN"/>
        </w:rPr>
        <w:t>表</w:t>
      </w:r>
      <w:r>
        <w:rPr>
          <w:rFonts w:hint="eastAsia" w:ascii="仿宋" w:hAnsi="仿宋" w:eastAsia="仿宋" w:cs="仿宋"/>
          <w:b/>
          <w:bCs/>
          <w:color w:val="FF0000"/>
          <w:kern w:val="0"/>
          <w:sz w:val="22"/>
          <w:szCs w:val="22"/>
        </w:rPr>
        <w:t>（含电子档</w:t>
      </w:r>
      <w:r>
        <w:rPr>
          <w:rFonts w:hint="eastAsia" w:ascii="仿宋" w:hAnsi="仿宋" w:eastAsia="仿宋" w:cs="仿宋"/>
          <w:b/>
          <w:bCs/>
          <w:color w:val="FF0000"/>
          <w:kern w:val="0"/>
          <w:sz w:val="22"/>
          <w:szCs w:val="22"/>
          <w:lang w:eastAsia="zh-CN"/>
        </w:rPr>
        <w:t>（</w:t>
      </w:r>
      <w:r>
        <w:rPr>
          <w:rFonts w:hint="eastAsia" w:ascii="仿宋" w:hAnsi="仿宋" w:eastAsia="仿宋" w:cs="仿宋"/>
          <w:b/>
          <w:bCs/>
          <w:color w:val="FF0000"/>
          <w:kern w:val="0"/>
          <w:sz w:val="22"/>
          <w:szCs w:val="22"/>
          <w:lang w:val="en-US" w:eastAsia="zh-CN"/>
        </w:rPr>
        <w:t>EXCEL</w:t>
      </w:r>
      <w:r>
        <w:rPr>
          <w:rFonts w:hint="eastAsia" w:ascii="仿宋" w:hAnsi="仿宋" w:eastAsia="仿宋" w:cs="仿宋"/>
          <w:b/>
          <w:bCs/>
          <w:color w:val="FF0000"/>
          <w:kern w:val="0"/>
          <w:sz w:val="22"/>
          <w:szCs w:val="22"/>
          <w:lang w:eastAsia="zh-CN"/>
        </w:rPr>
        <w:t>）、</w:t>
      </w:r>
      <w:r>
        <w:rPr>
          <w:rFonts w:hint="eastAsia" w:ascii="仿宋" w:hAnsi="仿宋" w:eastAsia="仿宋" w:cs="仿宋"/>
          <w:b/>
          <w:bCs/>
          <w:color w:val="FF0000"/>
          <w:kern w:val="0"/>
          <w:sz w:val="22"/>
          <w:szCs w:val="22"/>
        </w:rPr>
        <w:t>盖章扫描件</w:t>
      </w:r>
      <w:r>
        <w:rPr>
          <w:rFonts w:hint="eastAsia" w:ascii="仿宋" w:hAnsi="仿宋" w:eastAsia="仿宋" w:cs="仿宋"/>
          <w:b/>
          <w:bCs/>
          <w:color w:val="FF0000"/>
          <w:kern w:val="0"/>
          <w:sz w:val="22"/>
          <w:szCs w:val="22"/>
          <w:lang w:eastAsia="zh-CN"/>
        </w:rPr>
        <w:t>（</w:t>
      </w:r>
      <w:r>
        <w:rPr>
          <w:rFonts w:hint="eastAsia" w:ascii="仿宋" w:hAnsi="仿宋" w:eastAsia="仿宋" w:cs="仿宋"/>
          <w:b/>
          <w:bCs/>
          <w:color w:val="FF0000"/>
          <w:kern w:val="0"/>
          <w:sz w:val="22"/>
          <w:szCs w:val="22"/>
          <w:lang w:val="en-US" w:eastAsia="zh-CN"/>
        </w:rPr>
        <w:t>PDF</w:t>
      </w:r>
      <w:r>
        <w:rPr>
          <w:rFonts w:hint="eastAsia" w:ascii="仿宋" w:hAnsi="仿宋" w:eastAsia="仿宋" w:cs="仿宋"/>
          <w:b/>
          <w:bCs/>
          <w:color w:val="FF0000"/>
          <w:kern w:val="0"/>
          <w:sz w:val="22"/>
          <w:szCs w:val="22"/>
          <w:lang w:eastAsia="zh-CN"/>
        </w:rPr>
        <w:t>）</w:t>
      </w:r>
      <w:r>
        <w:rPr>
          <w:rFonts w:hint="eastAsia" w:ascii="仿宋" w:hAnsi="仿宋" w:eastAsia="仿宋" w:cs="仿宋"/>
          <w:b/>
          <w:bCs/>
          <w:color w:val="FF0000"/>
          <w:kern w:val="0"/>
          <w:sz w:val="22"/>
          <w:szCs w:val="22"/>
        </w:rPr>
        <w:t>两个版本）等报价附件</w:t>
      </w:r>
      <w:r>
        <w:rPr>
          <w:rFonts w:hint="eastAsia" w:ascii="仿宋" w:hAnsi="仿宋" w:eastAsia="仿宋" w:cs="仿宋"/>
          <w:b/>
          <w:bCs/>
          <w:color w:val="FF0000"/>
          <w:kern w:val="0"/>
          <w:sz w:val="22"/>
          <w:szCs w:val="22"/>
          <w:lang w:val="en-US" w:eastAsia="zh-CN"/>
        </w:rPr>
        <w:t>分别</w:t>
      </w:r>
      <w:r>
        <w:rPr>
          <w:rFonts w:hint="eastAsia" w:ascii="仿宋" w:hAnsi="仿宋" w:eastAsia="仿宋" w:cs="仿宋"/>
          <w:b/>
          <w:bCs/>
          <w:color w:val="FF0000"/>
          <w:kern w:val="0"/>
          <w:sz w:val="22"/>
          <w:szCs w:val="22"/>
        </w:rPr>
        <w:t>压缩后同步上传至报价系统中。</w:t>
      </w:r>
    </w:p>
    <w:p w14:paraId="39F7208C">
      <w:pPr>
        <w:snapToGrid w:val="0"/>
        <w:spacing w:line="360" w:lineRule="auto"/>
        <w:ind w:firstLine="442" w:firstLineChars="200"/>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注：切莫将与本次项目价格有关文档存留技术标中。</w:t>
      </w:r>
    </w:p>
    <w:p w14:paraId="3559B92C">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4、报价相关说明：</w:t>
      </w:r>
    </w:p>
    <w:p w14:paraId="5B9EF4A4">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(1)报价阶段操作复查：报价完成并关闭后,再重新进入招选公告，点击我要投标，进去检查一下，填报是否有误、附件是否上传完毕；</w:t>
      </w:r>
    </w:p>
    <w:p w14:paraId="4B0591CB">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(2)</w:t>
      </w:r>
      <w:r>
        <w:rPr>
          <w:rFonts w:hint="eastAsia" w:ascii="仿宋" w:hAnsi="仿宋" w:eastAsia="仿宋" w:cs="仿宋"/>
          <w:sz w:val="22"/>
          <w:szCs w:val="22"/>
        </w:rPr>
        <w:t xml:space="preserve"> </w:t>
      </w:r>
      <w:r>
        <w:rPr>
          <w:rFonts w:hint="eastAsia" w:ascii="仿宋" w:hAnsi="仿宋" w:eastAsia="仿宋" w:cs="仿宋"/>
          <w:kern w:val="0"/>
          <w:sz w:val="22"/>
          <w:szCs w:val="22"/>
        </w:rPr>
        <w:t>应选截止时间以挂网截止时间为准，逾期不予受理;</w:t>
      </w:r>
    </w:p>
    <w:p w14:paraId="206C40F5">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(3) 系统以最后一次报价记录为准；</w:t>
      </w:r>
    </w:p>
    <w:p w14:paraId="7946FAC8">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(4) 如果报价资料超过10M，请将本次报价的技术资料（不涉及到需保密的部分，如企业介绍、企业资质、企业业绩证明等）进行电子投递，发送至商务联系人邮箱</w:t>
      </w:r>
      <w:r>
        <w:rPr>
          <w:rFonts w:hint="eastAsia" w:ascii="仿宋" w:hAnsi="仿宋" w:eastAsia="仿宋" w:cs="仿宋"/>
          <w:kern w:val="0"/>
          <w:sz w:val="22"/>
          <w:szCs w:val="22"/>
          <w:lang w:eastAsia="zh-CN"/>
        </w:rPr>
        <w:t>——</w:t>
      </w:r>
      <w:r>
        <w:rPr>
          <w:rFonts w:hint="eastAsia" w:ascii="仿宋" w:hAnsi="仿宋" w:eastAsia="仿宋" w:cs="仿宋"/>
          <w:b/>
          <w:bCs/>
          <w:kern w:val="0"/>
          <w:sz w:val="22"/>
          <w:szCs w:val="22"/>
          <w:lang w:val="en-US" w:eastAsia="zh-CN"/>
        </w:rPr>
        <w:t>马健钟：majianzhong@huaxin.com</w:t>
      </w:r>
    </w:p>
    <w:p w14:paraId="55F309FB">
      <w:pPr>
        <w:snapToGrid w:val="0"/>
        <w:spacing w:line="360" w:lineRule="auto"/>
        <w:rPr>
          <w:rFonts w:ascii="仿宋" w:hAnsi="仿宋" w:eastAsia="仿宋" w:cs="仿宋"/>
          <w:b/>
          <w:kern w:val="0"/>
          <w:sz w:val="22"/>
        </w:rPr>
      </w:pPr>
      <w:r>
        <w:rPr>
          <w:rFonts w:hint="eastAsia" w:ascii="仿宋" w:hAnsi="仿宋" w:eastAsia="仿宋" w:cs="仿宋"/>
          <w:b/>
          <w:kern w:val="0"/>
          <w:sz w:val="22"/>
        </w:rPr>
        <w:t>十、开标：</w:t>
      </w:r>
    </w:p>
    <w:p w14:paraId="6AF7776D">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1、开标由招标单位主持，在华新招投标网上系统进行，投标方不需参与。</w:t>
      </w:r>
    </w:p>
    <w:p w14:paraId="4FDB0BBA">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2、评标活动在有关行政监督管理部门的监督下，由招选单位组织相关评审委员会进行评审。</w:t>
      </w:r>
    </w:p>
    <w:p w14:paraId="0B4D3419">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3、应选文件有下列情形之一的，由评审委员会初审后按废标处理：</w:t>
      </w:r>
    </w:p>
    <w:p w14:paraId="5A8DC8C2">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（1）无单位盖章并无法定代表人或法定代表人授权的代理人签字或盖章的；</w:t>
      </w:r>
    </w:p>
    <w:p w14:paraId="46754575">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（2）应选单位递交两份或多份内容不同的应选文件，或在一份应选文件中对同一应选项目报有两个或多个报价，且未声明哪一个有效（按应选文件规定提交备选方案除外）；</w:t>
      </w:r>
    </w:p>
    <w:p w14:paraId="08124FD0">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（3）应选单位名称或组织结构与资格预审时不一致的；</w:t>
      </w:r>
    </w:p>
    <w:p w14:paraId="3F37281F">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（4）应选单位以他人的名义应选、串通投标、以行贿手段谋取中标或者以其他弄虚作假方式应选的；</w:t>
      </w:r>
    </w:p>
    <w:p w14:paraId="77184E72">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（5）应选单位的报价明显低于其他应选单位的报价，或者在设有标底时明显低于标底，使其投标报价可能低于其个别成本的，由评审委员会认定为低于成本报价竞标的；</w:t>
      </w:r>
    </w:p>
    <w:p w14:paraId="3F405BC5">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（6）应选文件载明的检验标准和方法等不符合招选文件的要求或已被废止的；</w:t>
      </w:r>
    </w:p>
    <w:p w14:paraId="3B0B5117">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（7）应选文件附有招选单位不能接受的条件；</w:t>
      </w:r>
    </w:p>
    <w:p w14:paraId="7A02A9C6">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（8）应选单位资质在通过资格予审后发生实质性变化的;</w:t>
      </w:r>
    </w:p>
    <w:p w14:paraId="4DA165BF">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（9）应选单位提供的人员或设备配置表不能满足招选单位的生产实际需求，或有可能存在安全隐患的。</w:t>
      </w:r>
    </w:p>
    <w:p w14:paraId="458E65D8">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4、评审委员会根据规定否决不合格应选单位或者界定为废标后，因有效应选单位不足三家导致使得本次招选活动明显缺乏竞争的，评审委员会可以否决全部投标，实施流标。</w:t>
      </w:r>
    </w:p>
    <w:p w14:paraId="1969F8D5">
      <w:pPr>
        <w:snapToGrid w:val="0"/>
        <w:spacing w:line="360" w:lineRule="auto"/>
        <w:rPr>
          <w:rFonts w:ascii="仿宋" w:hAnsi="仿宋" w:eastAsia="仿宋" w:cs="仿宋"/>
          <w:b/>
          <w:kern w:val="0"/>
          <w:sz w:val="22"/>
        </w:rPr>
      </w:pPr>
      <w:r>
        <w:rPr>
          <w:rFonts w:hint="eastAsia" w:ascii="仿宋" w:hAnsi="仿宋" w:eastAsia="仿宋" w:cs="仿宋"/>
          <w:b/>
          <w:kern w:val="0"/>
          <w:sz w:val="22"/>
        </w:rPr>
        <w:t>十一、澄清：</w:t>
      </w:r>
    </w:p>
    <w:p w14:paraId="595F1F49">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1、为了有助于投标文件的审查、评价和比较，评审委员会可以要求应选单位对应选文件中含义不明确、对同类问题表述不一致或者有明显文字和计算错误的内容作必要的澄清、说明或者补正，但不应该变更招选文件的实质性内容。</w:t>
      </w:r>
    </w:p>
    <w:p w14:paraId="34D1305E">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2、评审委员会在对实质上响应招选文件要求的投标进行报价评估时，除招选文件另有约定外，将按下述原则进行修正：</w:t>
      </w:r>
    </w:p>
    <w:p w14:paraId="1F29AF68">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（1）用数字表示的数额与用文字表示的数额不一致时，以文字数额为准；</w:t>
      </w:r>
    </w:p>
    <w:p w14:paraId="765CECA5">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（2）单价与工程量的乘积与总价之间不一致时，以单价为准。若单价有明显的小数点错位，应以总价为准，并修改单价；</w:t>
      </w:r>
    </w:p>
    <w:p w14:paraId="4727A364">
      <w:pPr>
        <w:snapToGrid w:val="0"/>
        <w:spacing w:line="360" w:lineRule="auto"/>
        <w:ind w:firstLine="440" w:firstLineChars="200"/>
        <w:rPr>
          <w:rFonts w:ascii="仿宋" w:hAnsi="仿宋" w:eastAsia="仿宋" w:cs="仿宋"/>
          <w:kern w:val="0"/>
          <w:sz w:val="22"/>
        </w:rPr>
      </w:pPr>
      <w:r>
        <w:rPr>
          <w:rFonts w:hint="eastAsia" w:ascii="仿宋" w:hAnsi="仿宋" w:eastAsia="仿宋" w:cs="仿宋"/>
          <w:kern w:val="0"/>
          <w:sz w:val="22"/>
        </w:rPr>
        <w:t>（3）按前款规定调整后的报价经投标人确认后产生约束力；</w:t>
      </w:r>
    </w:p>
    <w:p w14:paraId="06EBECBB">
      <w:pPr>
        <w:snapToGrid w:val="0"/>
        <w:spacing w:line="360" w:lineRule="auto"/>
        <w:ind w:firstLine="440" w:firstLineChars="200"/>
        <w:rPr>
          <w:rFonts w:hint="eastAsia" w:ascii="仿宋" w:hAnsi="仿宋" w:eastAsia="仿宋" w:cs="仿宋"/>
          <w:b/>
          <w:snapToGrid w:val="0"/>
          <w:sz w:val="22"/>
          <w:szCs w:val="22"/>
        </w:rPr>
      </w:pPr>
      <w:r>
        <w:rPr>
          <w:rFonts w:hint="eastAsia" w:ascii="仿宋" w:hAnsi="仿宋" w:eastAsia="仿宋" w:cs="仿宋"/>
          <w:kern w:val="0"/>
          <w:sz w:val="22"/>
        </w:rPr>
        <w:t>（4）投标文件中没有列入的价格和优惠条件在评标时不予考虑；</w:t>
      </w:r>
    </w:p>
    <w:p w14:paraId="7A398A71">
      <w:pPr>
        <w:snapToGrid w:val="0"/>
        <w:spacing w:line="360" w:lineRule="auto"/>
        <w:rPr>
          <w:rFonts w:hint="eastAsia" w:ascii="仿宋" w:hAnsi="仿宋" w:eastAsia="仿宋" w:cs="仿宋"/>
          <w:i/>
          <w:kern w:val="0"/>
          <w:sz w:val="22"/>
          <w:szCs w:val="22"/>
        </w:rPr>
      </w:pPr>
      <w:r>
        <w:rPr>
          <w:rFonts w:hint="eastAsia" w:ascii="仿宋" w:hAnsi="仿宋" w:eastAsia="仿宋" w:cs="仿宋"/>
          <w:b/>
          <w:snapToGrid w:val="0"/>
          <w:sz w:val="22"/>
          <w:szCs w:val="22"/>
        </w:rPr>
        <w:t>十二、评审</w:t>
      </w:r>
    </w:p>
    <w:p w14:paraId="3E61C0C8">
      <w:pPr>
        <w:pStyle w:val="56"/>
        <w:numPr>
          <w:ilvl w:val="0"/>
          <w:numId w:val="6"/>
        </w:numPr>
        <w:spacing w:line="360" w:lineRule="auto"/>
        <w:ind w:firstLineChars="0"/>
        <w:rPr>
          <w:rFonts w:hint="eastAsia" w:ascii="仿宋" w:hAnsi="仿宋" w:eastAsia="仿宋" w:cs="仿宋"/>
          <w:snapToGrid w:val="0"/>
          <w:sz w:val="22"/>
          <w:szCs w:val="22"/>
        </w:rPr>
      </w:pPr>
      <w:r>
        <w:rPr>
          <w:rFonts w:hint="eastAsia" w:ascii="仿宋" w:hAnsi="仿宋" w:eastAsia="仿宋" w:cs="仿宋"/>
          <w:snapToGrid w:val="0"/>
          <w:sz w:val="22"/>
          <w:szCs w:val="22"/>
        </w:rPr>
        <w:t>采取招选（技术合理性确认）+竞拍（价格竞争）结合的方式确认最终中选单位。</w:t>
      </w:r>
    </w:p>
    <w:p w14:paraId="548F5884">
      <w:pPr>
        <w:pStyle w:val="56"/>
        <w:numPr>
          <w:ilvl w:val="0"/>
          <w:numId w:val="6"/>
        </w:numPr>
        <w:spacing w:line="360" w:lineRule="auto"/>
        <w:ind w:firstLineChars="0"/>
        <w:rPr>
          <w:rFonts w:hint="eastAsia" w:ascii="仿宋" w:hAnsi="仿宋" w:eastAsia="仿宋" w:cs="仿宋"/>
          <w:snapToGrid w:val="0"/>
          <w:sz w:val="22"/>
          <w:szCs w:val="22"/>
        </w:rPr>
      </w:pPr>
      <w:r>
        <w:rPr>
          <w:rFonts w:hint="eastAsia" w:ascii="仿宋" w:hAnsi="仿宋" w:eastAsia="仿宋" w:cs="仿宋"/>
          <w:snapToGrid w:val="0"/>
          <w:sz w:val="22"/>
          <w:szCs w:val="22"/>
        </w:rPr>
        <w:t>应选单位需在招选阶段上传技术资料，包含但不仅限于安装方案、施工计划、人员&amp;设备配置、所供货设备或材料的详细品牌及参数等。经</w:t>
      </w:r>
    </w:p>
    <w:p w14:paraId="0067D0A9">
      <w:pPr>
        <w:pStyle w:val="53"/>
        <w:numPr>
          <w:ilvl w:val="0"/>
          <w:numId w:val="6"/>
        </w:numPr>
        <w:snapToGrid w:val="0"/>
        <w:spacing w:line="360" w:lineRule="auto"/>
        <w:ind w:firstLineChars="0"/>
        <w:rPr>
          <w:rFonts w:hint="eastAsia" w:ascii="仿宋" w:hAnsi="仿宋" w:eastAsia="仿宋" w:cs="仿宋"/>
          <w:kern w:val="0"/>
          <w:sz w:val="22"/>
          <w:szCs w:val="22"/>
        </w:rPr>
      </w:pPr>
      <w:r>
        <w:rPr>
          <w:rFonts w:hint="eastAsia" w:ascii="仿宋" w:hAnsi="仿宋" w:eastAsia="仿宋" w:cs="仿宋"/>
          <w:kern w:val="0"/>
          <w:sz w:val="22"/>
          <w:szCs w:val="22"/>
        </w:rPr>
        <w:t>招选阶段由评审委员会进行技术标的合理性确认。除安全制度是否符合国家地方法规外，还需审核生产组织、施工方案、人员及设备配置等技术资料是否符合工厂的实际需求。如供应商提交资料中存在部分缺失，允许在限定的时间内进行补充。</w:t>
      </w:r>
    </w:p>
    <w:p w14:paraId="2D6D5ADA">
      <w:pPr>
        <w:pStyle w:val="53"/>
        <w:numPr>
          <w:ilvl w:val="0"/>
          <w:numId w:val="6"/>
        </w:numPr>
        <w:snapToGrid w:val="0"/>
        <w:spacing w:line="360" w:lineRule="auto"/>
        <w:ind w:firstLineChars="0"/>
        <w:rPr>
          <w:rFonts w:hint="eastAsia" w:ascii="仿宋" w:hAnsi="仿宋" w:eastAsia="仿宋" w:cs="仿宋"/>
          <w:kern w:val="0"/>
          <w:sz w:val="22"/>
          <w:szCs w:val="22"/>
        </w:rPr>
      </w:pPr>
      <w:r>
        <w:rPr>
          <w:rFonts w:hint="eastAsia" w:ascii="仿宋" w:hAnsi="仿宋" w:eastAsia="仿宋" w:cs="仿宋"/>
          <w:kern w:val="0"/>
          <w:sz w:val="22"/>
          <w:szCs w:val="22"/>
        </w:rPr>
        <w:t>如技术方案的差异存在对服务价格的影响时，招选单位可发出澄清公告，统一其标准，以示公正性。</w:t>
      </w:r>
    </w:p>
    <w:p w14:paraId="0E5A3ED6">
      <w:pPr>
        <w:pStyle w:val="53"/>
        <w:numPr>
          <w:ilvl w:val="0"/>
          <w:numId w:val="6"/>
        </w:numPr>
        <w:spacing w:line="360" w:lineRule="auto"/>
        <w:ind w:firstLineChars="0"/>
        <w:rPr>
          <w:rFonts w:hint="eastAsia" w:ascii="仿宋" w:hAnsi="仿宋" w:eastAsia="仿宋" w:cs="仿宋"/>
          <w:b/>
          <w:bCs/>
          <w:color w:val="FF0000"/>
          <w:sz w:val="22"/>
          <w:szCs w:val="22"/>
          <w:highlight w:val="none"/>
        </w:rPr>
      </w:pPr>
      <w:r>
        <w:rPr>
          <w:rFonts w:hint="eastAsia" w:ascii="仿宋" w:hAnsi="仿宋" w:eastAsia="仿宋" w:cs="仿宋"/>
          <w:b/>
          <w:bCs/>
          <w:color w:val="FF0000"/>
          <w:kern w:val="0"/>
          <w:sz w:val="22"/>
          <w:szCs w:val="22"/>
          <w:highlight w:val="none"/>
        </w:rPr>
        <w:t>评审结果原则上只有合格和不合格两个状态。评审合格</w:t>
      </w:r>
      <w:r>
        <w:rPr>
          <w:rFonts w:hint="eastAsia" w:ascii="仿宋" w:hAnsi="仿宋" w:eastAsia="仿宋" w:cs="仿宋"/>
          <w:b/>
          <w:bCs/>
          <w:snapToGrid w:val="0"/>
          <w:color w:val="FF0000"/>
          <w:sz w:val="22"/>
          <w:szCs w:val="22"/>
          <w:highlight w:val="none"/>
        </w:rPr>
        <w:t>（即方案合理、设备参数满足需求等）</w:t>
      </w:r>
      <w:r>
        <w:rPr>
          <w:rFonts w:hint="eastAsia" w:ascii="仿宋" w:hAnsi="仿宋" w:eastAsia="仿宋" w:cs="仿宋"/>
          <w:b/>
          <w:bCs/>
          <w:color w:val="FF0000"/>
          <w:kern w:val="0"/>
          <w:sz w:val="22"/>
          <w:szCs w:val="22"/>
          <w:highlight w:val="none"/>
        </w:rPr>
        <w:t>的应选单位均可进入竞拍环节。</w:t>
      </w:r>
    </w:p>
    <w:p w14:paraId="338BB982">
      <w:pPr>
        <w:pStyle w:val="56"/>
        <w:numPr>
          <w:ilvl w:val="0"/>
          <w:numId w:val="6"/>
        </w:numPr>
        <w:spacing w:line="360" w:lineRule="auto"/>
        <w:ind w:firstLineChars="0"/>
        <w:rPr>
          <w:rFonts w:hint="eastAsia" w:ascii="仿宋" w:hAnsi="仿宋" w:eastAsia="仿宋" w:cs="仿宋"/>
          <w:kern w:val="0"/>
          <w:sz w:val="22"/>
          <w:szCs w:val="22"/>
        </w:rPr>
      </w:pPr>
      <w:r>
        <w:rPr>
          <w:rFonts w:hint="eastAsia" w:ascii="仿宋" w:hAnsi="仿宋" w:eastAsia="仿宋" w:cs="仿宋"/>
          <w:snapToGrid w:val="0"/>
          <w:sz w:val="22"/>
          <w:szCs w:val="22"/>
        </w:rPr>
        <w:t>招选阶段，应选单位需在系统中报出承接该项目的意向总价和电子版的分项报价。原则上后续价格不得高于本轮报价。</w:t>
      </w:r>
    </w:p>
    <w:p w14:paraId="63F9CF74">
      <w:pPr>
        <w:snapToGrid w:val="0"/>
        <w:spacing w:line="360" w:lineRule="auto"/>
        <w:rPr>
          <w:rFonts w:hint="eastAsia" w:ascii="仿宋" w:hAnsi="仿宋" w:eastAsia="仿宋" w:cs="仿宋"/>
          <w:b/>
          <w:bCs w:val="0"/>
          <w:color w:val="FF0000"/>
          <w:kern w:val="0"/>
          <w:sz w:val="22"/>
          <w:szCs w:val="22"/>
        </w:rPr>
      </w:pPr>
      <w:r>
        <w:rPr>
          <w:rFonts w:hint="eastAsia" w:ascii="仿宋" w:hAnsi="仿宋" w:eastAsia="仿宋" w:cs="仿宋"/>
          <w:b/>
          <w:bCs w:val="0"/>
          <w:color w:val="FF0000"/>
          <w:kern w:val="0"/>
          <w:sz w:val="22"/>
          <w:szCs w:val="22"/>
        </w:rPr>
        <w:t>十三、竞拍</w:t>
      </w:r>
    </w:p>
    <w:p w14:paraId="43E983EB">
      <w:pPr>
        <w:pStyle w:val="53"/>
        <w:numPr>
          <w:ilvl w:val="0"/>
          <w:numId w:val="8"/>
        </w:numPr>
        <w:snapToGrid w:val="0"/>
        <w:spacing w:line="360" w:lineRule="auto"/>
        <w:ind w:firstLineChars="0"/>
        <w:rPr>
          <w:rFonts w:hint="eastAsia" w:ascii="仿宋" w:hAnsi="仿宋" w:eastAsia="仿宋" w:cs="仿宋"/>
          <w:kern w:val="0"/>
          <w:sz w:val="22"/>
          <w:szCs w:val="22"/>
        </w:rPr>
      </w:pPr>
      <w:r>
        <w:rPr>
          <w:rFonts w:hint="eastAsia" w:ascii="仿宋" w:hAnsi="仿宋" w:eastAsia="仿宋" w:cs="仿宋"/>
          <w:kern w:val="0"/>
          <w:sz w:val="22"/>
          <w:szCs w:val="22"/>
        </w:rPr>
        <w:t>招选单位在确认本项目的竞拍标的价后。再次发出竞拍公告。</w:t>
      </w:r>
    </w:p>
    <w:p w14:paraId="1C046D28">
      <w:pPr>
        <w:pStyle w:val="53"/>
        <w:numPr>
          <w:ilvl w:val="0"/>
          <w:numId w:val="8"/>
        </w:numPr>
        <w:snapToGrid w:val="0"/>
        <w:spacing w:line="360" w:lineRule="auto"/>
        <w:ind w:firstLineChars="0"/>
        <w:rPr>
          <w:rFonts w:hint="eastAsia" w:ascii="仿宋" w:hAnsi="仿宋" w:eastAsia="仿宋" w:cs="仿宋"/>
          <w:kern w:val="0"/>
          <w:sz w:val="22"/>
          <w:szCs w:val="22"/>
        </w:rPr>
      </w:pPr>
      <w:r>
        <w:rPr>
          <w:rFonts w:hint="eastAsia" w:ascii="仿宋" w:hAnsi="仿宋" w:eastAsia="仿宋" w:cs="仿宋"/>
          <w:kern w:val="0"/>
          <w:sz w:val="22"/>
          <w:szCs w:val="22"/>
        </w:rPr>
        <w:t>应选单位需在要求的时间内，报名且参加竞拍活动</w:t>
      </w:r>
    </w:p>
    <w:p w14:paraId="364E9DAA">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3、参与竞拍的单位应关注竞拍时长、出价次数等限制条件，避免对竞价过程产生不可逆转的影响（具体可参考供应商操作手册）。</w:t>
      </w:r>
    </w:p>
    <w:p w14:paraId="70C8E9A0">
      <w:pPr>
        <w:snapToGrid w:val="0"/>
        <w:spacing w:line="360" w:lineRule="auto"/>
        <w:ind w:firstLine="442" w:firstLineChars="200"/>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4、</w:t>
      </w:r>
      <w:r>
        <w:rPr>
          <w:rFonts w:hint="eastAsia" w:ascii="仿宋" w:hAnsi="仿宋" w:eastAsia="仿宋" w:cs="仿宋"/>
          <w:b/>
          <w:bCs/>
          <w:color w:val="FF0000"/>
          <w:kern w:val="0"/>
          <w:sz w:val="22"/>
          <w:szCs w:val="22"/>
          <w:lang w:val="en-US" w:eastAsia="zh-CN"/>
        </w:rPr>
        <w:t>特别注意：</w:t>
      </w:r>
      <w:r>
        <w:rPr>
          <w:rFonts w:hint="eastAsia" w:ascii="仿宋" w:hAnsi="仿宋" w:eastAsia="仿宋" w:cs="仿宋"/>
          <w:b/>
          <w:bCs/>
          <w:color w:val="FF0000"/>
          <w:kern w:val="0"/>
          <w:sz w:val="22"/>
          <w:szCs w:val="22"/>
        </w:rPr>
        <w:t>竞拍过程中，各应选单位所报价格为项目总价，如遇多个服务项目时，将价格差异同比例均摊到各个分项当中，保留2位小数。</w:t>
      </w:r>
    </w:p>
    <w:p w14:paraId="27BC0108">
      <w:pPr>
        <w:snapToGrid w:val="0"/>
        <w:spacing w:line="360" w:lineRule="auto"/>
        <w:ind w:firstLine="442" w:firstLineChars="200"/>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示例如下：</w:t>
      </w:r>
    </w:p>
    <w:tbl>
      <w:tblPr>
        <w:tblStyle w:val="16"/>
        <w:tblW w:w="9659" w:type="dxa"/>
        <w:tblInd w:w="98" w:type="dxa"/>
        <w:tblLayout w:type="fixed"/>
        <w:tblCellMar>
          <w:top w:w="0" w:type="dxa"/>
          <w:left w:w="108" w:type="dxa"/>
          <w:bottom w:w="0" w:type="dxa"/>
          <w:right w:w="108" w:type="dxa"/>
        </w:tblCellMar>
      </w:tblPr>
      <w:tblGrid>
        <w:gridCol w:w="1137"/>
        <w:gridCol w:w="646"/>
        <w:gridCol w:w="1277"/>
        <w:gridCol w:w="1823"/>
        <w:gridCol w:w="2500"/>
        <w:gridCol w:w="2276"/>
      </w:tblGrid>
      <w:tr w14:paraId="7A6F33AC">
        <w:tblPrEx>
          <w:tblCellMar>
            <w:top w:w="0" w:type="dxa"/>
            <w:left w:w="108" w:type="dxa"/>
            <w:bottom w:w="0" w:type="dxa"/>
            <w:right w:w="108" w:type="dxa"/>
          </w:tblCellMar>
        </w:tblPrEx>
        <w:trPr>
          <w:trHeight w:val="488" w:hRule="atLeast"/>
        </w:trPr>
        <w:tc>
          <w:tcPr>
            <w:tcW w:w="1137" w:type="dxa"/>
            <w:tcBorders>
              <w:top w:val="single" w:color="000000" w:sz="8" w:space="0"/>
              <w:left w:val="single" w:color="000000" w:sz="8" w:space="0"/>
              <w:bottom w:val="single" w:color="000000" w:sz="8" w:space="0"/>
              <w:right w:val="single" w:color="000000" w:sz="8" w:space="0"/>
            </w:tcBorders>
            <w:shd w:val="clear" w:color="auto" w:fill="D9D9D9"/>
            <w:noWrap/>
            <w:vAlign w:val="center"/>
          </w:tcPr>
          <w:p w14:paraId="30FB9FB1">
            <w:pPr>
              <w:snapToGrid w:val="0"/>
              <w:spacing w:line="360" w:lineRule="auto"/>
              <w:rPr>
                <w:rFonts w:hint="eastAsia" w:ascii="仿宋" w:hAnsi="仿宋" w:eastAsia="仿宋" w:cs="仿宋"/>
                <w:b/>
                <w:bCs/>
                <w:color w:val="FF0000"/>
                <w:kern w:val="0"/>
                <w:sz w:val="22"/>
                <w:szCs w:val="22"/>
              </w:rPr>
            </w:pPr>
          </w:p>
        </w:tc>
        <w:tc>
          <w:tcPr>
            <w:tcW w:w="646" w:type="dxa"/>
            <w:tcBorders>
              <w:top w:val="single" w:color="000000" w:sz="8" w:space="0"/>
              <w:left w:val="nil"/>
              <w:bottom w:val="single" w:color="000000" w:sz="8" w:space="0"/>
              <w:right w:val="single" w:color="000000" w:sz="8" w:space="0"/>
            </w:tcBorders>
            <w:shd w:val="clear" w:color="auto" w:fill="D9D9D9"/>
            <w:noWrap/>
            <w:vAlign w:val="center"/>
          </w:tcPr>
          <w:p w14:paraId="0A102140">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单位</w:t>
            </w:r>
          </w:p>
        </w:tc>
        <w:tc>
          <w:tcPr>
            <w:tcW w:w="1277" w:type="dxa"/>
            <w:tcBorders>
              <w:top w:val="single" w:color="000000" w:sz="8" w:space="0"/>
              <w:left w:val="nil"/>
              <w:bottom w:val="single" w:color="000000" w:sz="8" w:space="0"/>
              <w:right w:val="single" w:color="000000" w:sz="8" w:space="0"/>
            </w:tcBorders>
            <w:shd w:val="clear" w:color="auto" w:fill="D9D9D9"/>
            <w:noWrap/>
            <w:vAlign w:val="center"/>
          </w:tcPr>
          <w:p w14:paraId="2162E1A1">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预估年产量</w:t>
            </w:r>
          </w:p>
        </w:tc>
        <w:tc>
          <w:tcPr>
            <w:tcW w:w="1823" w:type="dxa"/>
            <w:tcBorders>
              <w:top w:val="single" w:color="000000" w:sz="8" w:space="0"/>
              <w:left w:val="nil"/>
              <w:bottom w:val="single" w:color="000000" w:sz="8" w:space="0"/>
              <w:right w:val="single" w:color="000000" w:sz="8" w:space="0"/>
            </w:tcBorders>
            <w:shd w:val="clear" w:color="auto" w:fill="D9D9D9"/>
            <w:noWrap/>
            <w:vAlign w:val="center"/>
          </w:tcPr>
          <w:p w14:paraId="5793CDE3">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含税分项标的单价</w:t>
            </w:r>
          </w:p>
        </w:tc>
        <w:tc>
          <w:tcPr>
            <w:tcW w:w="2500" w:type="dxa"/>
            <w:tcBorders>
              <w:top w:val="single" w:color="000000" w:sz="8" w:space="0"/>
              <w:left w:val="nil"/>
              <w:bottom w:val="single" w:color="000000" w:sz="8" w:space="0"/>
              <w:right w:val="single" w:color="000000" w:sz="8" w:space="0"/>
            </w:tcBorders>
            <w:shd w:val="clear" w:color="auto" w:fill="D9D9D9"/>
            <w:noWrap/>
            <w:vAlign w:val="center"/>
          </w:tcPr>
          <w:p w14:paraId="3C95A0AE">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供应商最低报价总价（含税）</w:t>
            </w:r>
          </w:p>
        </w:tc>
        <w:tc>
          <w:tcPr>
            <w:tcW w:w="2276" w:type="dxa"/>
            <w:tcBorders>
              <w:top w:val="single" w:color="000000" w:sz="8" w:space="0"/>
              <w:left w:val="nil"/>
              <w:bottom w:val="single" w:color="000000" w:sz="8" w:space="0"/>
              <w:right w:val="single" w:color="000000" w:sz="8" w:space="0"/>
            </w:tcBorders>
            <w:shd w:val="clear" w:color="auto" w:fill="D9D9D9"/>
            <w:noWrap/>
            <w:vAlign w:val="center"/>
          </w:tcPr>
          <w:p w14:paraId="081CFDFE">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最终合同价格（含税分项单价）</w:t>
            </w:r>
          </w:p>
        </w:tc>
      </w:tr>
      <w:tr w14:paraId="5A6973D5">
        <w:tblPrEx>
          <w:tblCellMar>
            <w:top w:w="0" w:type="dxa"/>
            <w:left w:w="108" w:type="dxa"/>
            <w:bottom w:w="0" w:type="dxa"/>
            <w:right w:w="108" w:type="dxa"/>
          </w:tblCellMar>
        </w:tblPrEx>
        <w:trPr>
          <w:trHeight w:val="488" w:hRule="atLeast"/>
        </w:trPr>
        <w:tc>
          <w:tcPr>
            <w:tcW w:w="1137" w:type="dxa"/>
            <w:tcBorders>
              <w:top w:val="nil"/>
              <w:left w:val="single" w:color="000000" w:sz="8" w:space="0"/>
              <w:bottom w:val="single" w:color="000000" w:sz="8" w:space="0"/>
              <w:right w:val="single" w:color="000000" w:sz="8" w:space="0"/>
            </w:tcBorders>
            <w:shd w:val="clear" w:color="auto" w:fill="auto"/>
            <w:noWrap/>
            <w:vAlign w:val="center"/>
          </w:tcPr>
          <w:p w14:paraId="2A425CB0">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开采全外包</w:t>
            </w:r>
          </w:p>
        </w:tc>
        <w:tc>
          <w:tcPr>
            <w:tcW w:w="646" w:type="dxa"/>
            <w:tcBorders>
              <w:top w:val="nil"/>
              <w:left w:val="nil"/>
              <w:bottom w:val="single" w:color="000000" w:sz="8" w:space="0"/>
              <w:right w:val="single" w:color="000000" w:sz="8" w:space="0"/>
            </w:tcBorders>
            <w:shd w:val="clear" w:color="auto" w:fill="auto"/>
            <w:noWrap/>
            <w:vAlign w:val="center"/>
          </w:tcPr>
          <w:p w14:paraId="131D0710">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吨</w:t>
            </w:r>
          </w:p>
        </w:tc>
        <w:tc>
          <w:tcPr>
            <w:tcW w:w="1277" w:type="dxa"/>
            <w:tcBorders>
              <w:top w:val="nil"/>
              <w:left w:val="nil"/>
              <w:bottom w:val="single" w:color="000000" w:sz="8" w:space="0"/>
              <w:right w:val="single" w:color="000000" w:sz="8" w:space="0"/>
            </w:tcBorders>
            <w:shd w:val="clear" w:color="auto" w:fill="auto"/>
            <w:noWrap/>
            <w:vAlign w:val="center"/>
          </w:tcPr>
          <w:p w14:paraId="35156902">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1</w:t>
            </w:r>
          </w:p>
        </w:tc>
        <w:tc>
          <w:tcPr>
            <w:tcW w:w="1823" w:type="dxa"/>
            <w:tcBorders>
              <w:top w:val="nil"/>
              <w:left w:val="nil"/>
              <w:bottom w:val="single" w:color="000000" w:sz="8" w:space="0"/>
              <w:right w:val="single" w:color="000000" w:sz="8" w:space="0"/>
            </w:tcBorders>
            <w:shd w:val="clear" w:color="auto" w:fill="auto"/>
            <w:noWrap/>
            <w:vAlign w:val="center"/>
          </w:tcPr>
          <w:p w14:paraId="342FDC06">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6.8</w:t>
            </w:r>
          </w:p>
        </w:tc>
        <w:tc>
          <w:tcPr>
            <w:tcW w:w="2500" w:type="dxa"/>
            <w:tcBorders>
              <w:top w:val="nil"/>
              <w:left w:val="nil"/>
              <w:bottom w:val="single" w:color="000000" w:sz="8" w:space="0"/>
              <w:right w:val="single" w:color="000000" w:sz="8" w:space="0"/>
            </w:tcBorders>
            <w:shd w:val="clear" w:color="auto" w:fill="auto"/>
            <w:noWrap/>
            <w:vAlign w:val="center"/>
          </w:tcPr>
          <w:p w14:paraId="79293B4C">
            <w:pPr>
              <w:snapToGrid w:val="0"/>
              <w:spacing w:line="360" w:lineRule="auto"/>
              <w:rPr>
                <w:rFonts w:hint="eastAsia" w:ascii="仿宋" w:hAnsi="仿宋" w:eastAsia="仿宋" w:cs="仿宋"/>
                <w:b/>
                <w:bCs/>
                <w:color w:val="FF0000"/>
                <w:kern w:val="0"/>
                <w:sz w:val="22"/>
                <w:szCs w:val="22"/>
              </w:rPr>
            </w:pPr>
          </w:p>
        </w:tc>
        <w:tc>
          <w:tcPr>
            <w:tcW w:w="2276" w:type="dxa"/>
            <w:tcBorders>
              <w:top w:val="nil"/>
              <w:left w:val="nil"/>
              <w:bottom w:val="single" w:color="000000" w:sz="8" w:space="0"/>
              <w:right w:val="single" w:color="000000" w:sz="8" w:space="0"/>
            </w:tcBorders>
            <w:shd w:val="clear" w:color="auto" w:fill="auto"/>
            <w:noWrap/>
            <w:vAlign w:val="center"/>
          </w:tcPr>
          <w:p w14:paraId="2808BDBD">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6.12</w:t>
            </w:r>
          </w:p>
        </w:tc>
      </w:tr>
      <w:tr w14:paraId="07A2FFF9">
        <w:tblPrEx>
          <w:tblCellMar>
            <w:top w:w="0" w:type="dxa"/>
            <w:left w:w="108" w:type="dxa"/>
            <w:bottom w:w="0" w:type="dxa"/>
            <w:right w:w="108" w:type="dxa"/>
          </w:tblCellMar>
        </w:tblPrEx>
        <w:trPr>
          <w:trHeight w:val="488" w:hRule="atLeast"/>
        </w:trPr>
        <w:tc>
          <w:tcPr>
            <w:tcW w:w="1137" w:type="dxa"/>
            <w:tcBorders>
              <w:top w:val="nil"/>
              <w:left w:val="single" w:color="000000" w:sz="8" w:space="0"/>
              <w:bottom w:val="single" w:color="000000" w:sz="8" w:space="0"/>
              <w:right w:val="single" w:color="000000" w:sz="8" w:space="0"/>
            </w:tcBorders>
            <w:shd w:val="clear" w:color="auto" w:fill="auto"/>
            <w:noWrap/>
            <w:vAlign w:val="center"/>
          </w:tcPr>
          <w:p w14:paraId="3D3038DA">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二次铲运</w:t>
            </w:r>
          </w:p>
        </w:tc>
        <w:tc>
          <w:tcPr>
            <w:tcW w:w="646" w:type="dxa"/>
            <w:tcBorders>
              <w:top w:val="nil"/>
              <w:left w:val="nil"/>
              <w:bottom w:val="single" w:color="000000" w:sz="8" w:space="0"/>
              <w:right w:val="single" w:color="000000" w:sz="8" w:space="0"/>
            </w:tcBorders>
            <w:shd w:val="clear" w:color="auto" w:fill="auto"/>
            <w:noWrap/>
            <w:vAlign w:val="center"/>
          </w:tcPr>
          <w:p w14:paraId="08572218">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吨</w:t>
            </w:r>
          </w:p>
        </w:tc>
        <w:tc>
          <w:tcPr>
            <w:tcW w:w="1277" w:type="dxa"/>
            <w:tcBorders>
              <w:top w:val="nil"/>
              <w:left w:val="nil"/>
              <w:bottom w:val="single" w:color="000000" w:sz="8" w:space="0"/>
              <w:right w:val="single" w:color="000000" w:sz="8" w:space="0"/>
            </w:tcBorders>
            <w:shd w:val="clear" w:color="auto" w:fill="auto"/>
            <w:noWrap/>
            <w:vAlign w:val="center"/>
          </w:tcPr>
          <w:p w14:paraId="0067EEED">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1</w:t>
            </w:r>
          </w:p>
        </w:tc>
        <w:tc>
          <w:tcPr>
            <w:tcW w:w="1823" w:type="dxa"/>
            <w:tcBorders>
              <w:top w:val="nil"/>
              <w:left w:val="nil"/>
              <w:bottom w:val="single" w:color="000000" w:sz="8" w:space="0"/>
              <w:right w:val="single" w:color="000000" w:sz="8" w:space="0"/>
            </w:tcBorders>
            <w:shd w:val="clear" w:color="auto" w:fill="auto"/>
            <w:noWrap/>
            <w:vAlign w:val="center"/>
          </w:tcPr>
          <w:p w14:paraId="6ECD267F">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3</w:t>
            </w:r>
          </w:p>
        </w:tc>
        <w:tc>
          <w:tcPr>
            <w:tcW w:w="2500" w:type="dxa"/>
            <w:tcBorders>
              <w:top w:val="nil"/>
              <w:left w:val="nil"/>
              <w:bottom w:val="single" w:color="000000" w:sz="8" w:space="0"/>
              <w:right w:val="single" w:color="000000" w:sz="8" w:space="0"/>
            </w:tcBorders>
            <w:shd w:val="clear" w:color="auto" w:fill="auto"/>
            <w:noWrap/>
            <w:vAlign w:val="center"/>
          </w:tcPr>
          <w:p w14:paraId="44A71AFC">
            <w:pPr>
              <w:snapToGrid w:val="0"/>
              <w:spacing w:line="360" w:lineRule="auto"/>
              <w:rPr>
                <w:rFonts w:hint="eastAsia" w:ascii="仿宋" w:hAnsi="仿宋" w:eastAsia="仿宋" w:cs="仿宋"/>
                <w:b/>
                <w:bCs/>
                <w:color w:val="FF0000"/>
                <w:kern w:val="0"/>
                <w:sz w:val="22"/>
                <w:szCs w:val="22"/>
              </w:rPr>
            </w:pPr>
          </w:p>
        </w:tc>
        <w:tc>
          <w:tcPr>
            <w:tcW w:w="2276" w:type="dxa"/>
            <w:tcBorders>
              <w:top w:val="nil"/>
              <w:left w:val="nil"/>
              <w:bottom w:val="single" w:color="000000" w:sz="8" w:space="0"/>
              <w:right w:val="single" w:color="000000" w:sz="8" w:space="0"/>
            </w:tcBorders>
            <w:shd w:val="clear" w:color="auto" w:fill="auto"/>
            <w:noWrap/>
            <w:vAlign w:val="center"/>
          </w:tcPr>
          <w:p w14:paraId="7588C32A">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2.7</w:t>
            </w:r>
          </w:p>
        </w:tc>
      </w:tr>
      <w:tr w14:paraId="6CE37BFC">
        <w:tblPrEx>
          <w:tblCellMar>
            <w:top w:w="0" w:type="dxa"/>
            <w:left w:w="108" w:type="dxa"/>
            <w:bottom w:w="0" w:type="dxa"/>
            <w:right w:w="108" w:type="dxa"/>
          </w:tblCellMar>
        </w:tblPrEx>
        <w:trPr>
          <w:trHeight w:val="488" w:hRule="atLeast"/>
        </w:trPr>
        <w:tc>
          <w:tcPr>
            <w:tcW w:w="1137" w:type="dxa"/>
            <w:tcBorders>
              <w:top w:val="nil"/>
              <w:left w:val="single" w:color="000000" w:sz="8" w:space="0"/>
              <w:bottom w:val="single" w:color="000000" w:sz="8" w:space="0"/>
              <w:right w:val="single" w:color="000000" w:sz="8" w:space="0"/>
            </w:tcBorders>
            <w:shd w:val="clear" w:color="auto" w:fill="auto"/>
            <w:noWrap/>
            <w:vAlign w:val="center"/>
          </w:tcPr>
          <w:p w14:paraId="4F16AEDF">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土方剥离</w:t>
            </w:r>
          </w:p>
        </w:tc>
        <w:tc>
          <w:tcPr>
            <w:tcW w:w="646" w:type="dxa"/>
            <w:tcBorders>
              <w:top w:val="nil"/>
              <w:left w:val="nil"/>
              <w:bottom w:val="single" w:color="000000" w:sz="8" w:space="0"/>
              <w:right w:val="single" w:color="000000" w:sz="8" w:space="0"/>
            </w:tcBorders>
            <w:shd w:val="clear" w:color="auto" w:fill="auto"/>
            <w:noWrap/>
            <w:vAlign w:val="center"/>
          </w:tcPr>
          <w:p w14:paraId="54A5BDA0">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吨</w:t>
            </w:r>
          </w:p>
        </w:tc>
        <w:tc>
          <w:tcPr>
            <w:tcW w:w="1277" w:type="dxa"/>
            <w:tcBorders>
              <w:top w:val="nil"/>
              <w:left w:val="nil"/>
              <w:bottom w:val="single" w:color="000000" w:sz="8" w:space="0"/>
              <w:right w:val="single" w:color="000000" w:sz="8" w:space="0"/>
            </w:tcBorders>
            <w:shd w:val="clear" w:color="auto" w:fill="auto"/>
            <w:noWrap/>
            <w:vAlign w:val="center"/>
          </w:tcPr>
          <w:p w14:paraId="0C560A97">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1</w:t>
            </w:r>
          </w:p>
        </w:tc>
        <w:tc>
          <w:tcPr>
            <w:tcW w:w="1823" w:type="dxa"/>
            <w:tcBorders>
              <w:top w:val="nil"/>
              <w:left w:val="nil"/>
              <w:bottom w:val="single" w:color="000000" w:sz="8" w:space="0"/>
              <w:right w:val="single" w:color="000000" w:sz="8" w:space="0"/>
            </w:tcBorders>
            <w:shd w:val="clear" w:color="auto" w:fill="auto"/>
            <w:noWrap/>
            <w:vAlign w:val="center"/>
          </w:tcPr>
          <w:p w14:paraId="774B2DC5">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3.53</w:t>
            </w:r>
          </w:p>
        </w:tc>
        <w:tc>
          <w:tcPr>
            <w:tcW w:w="2500" w:type="dxa"/>
            <w:tcBorders>
              <w:top w:val="nil"/>
              <w:left w:val="nil"/>
              <w:bottom w:val="single" w:color="000000" w:sz="8" w:space="0"/>
              <w:right w:val="single" w:color="000000" w:sz="8" w:space="0"/>
            </w:tcBorders>
            <w:shd w:val="clear" w:color="auto" w:fill="auto"/>
            <w:noWrap/>
            <w:vAlign w:val="center"/>
          </w:tcPr>
          <w:p w14:paraId="67908A65">
            <w:pPr>
              <w:snapToGrid w:val="0"/>
              <w:spacing w:line="360" w:lineRule="auto"/>
              <w:rPr>
                <w:rFonts w:hint="eastAsia" w:ascii="仿宋" w:hAnsi="仿宋" w:eastAsia="仿宋" w:cs="仿宋"/>
                <w:b/>
                <w:bCs/>
                <w:color w:val="FF0000"/>
                <w:kern w:val="0"/>
                <w:sz w:val="22"/>
                <w:szCs w:val="22"/>
              </w:rPr>
            </w:pPr>
          </w:p>
        </w:tc>
        <w:tc>
          <w:tcPr>
            <w:tcW w:w="2276" w:type="dxa"/>
            <w:tcBorders>
              <w:top w:val="nil"/>
              <w:left w:val="nil"/>
              <w:bottom w:val="single" w:color="000000" w:sz="8" w:space="0"/>
              <w:right w:val="single" w:color="000000" w:sz="8" w:space="0"/>
            </w:tcBorders>
            <w:shd w:val="clear" w:color="auto" w:fill="auto"/>
            <w:noWrap/>
            <w:vAlign w:val="center"/>
          </w:tcPr>
          <w:p w14:paraId="0523EF69">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3.18</w:t>
            </w:r>
          </w:p>
        </w:tc>
      </w:tr>
      <w:tr w14:paraId="7CE6640C">
        <w:tblPrEx>
          <w:tblCellMar>
            <w:top w:w="0" w:type="dxa"/>
            <w:left w:w="108" w:type="dxa"/>
            <w:bottom w:w="0" w:type="dxa"/>
            <w:right w:w="108" w:type="dxa"/>
          </w:tblCellMar>
        </w:tblPrEx>
        <w:trPr>
          <w:trHeight w:val="508" w:hRule="atLeast"/>
        </w:trPr>
        <w:tc>
          <w:tcPr>
            <w:tcW w:w="1137" w:type="dxa"/>
            <w:tcBorders>
              <w:top w:val="nil"/>
              <w:left w:val="single" w:color="000000" w:sz="8" w:space="0"/>
              <w:bottom w:val="single" w:color="000000" w:sz="8" w:space="0"/>
              <w:right w:val="single" w:color="000000" w:sz="8" w:space="0"/>
            </w:tcBorders>
            <w:shd w:val="clear" w:color="auto" w:fill="auto"/>
            <w:noWrap/>
            <w:vAlign w:val="center"/>
          </w:tcPr>
          <w:p w14:paraId="23F30C8F">
            <w:pPr>
              <w:snapToGrid w:val="0"/>
              <w:spacing w:line="360" w:lineRule="auto"/>
              <w:rPr>
                <w:rFonts w:hint="eastAsia" w:ascii="仿宋" w:hAnsi="仿宋" w:eastAsia="仿宋" w:cs="仿宋"/>
                <w:b/>
                <w:bCs/>
                <w:color w:val="FF0000"/>
                <w:kern w:val="0"/>
                <w:sz w:val="22"/>
                <w:szCs w:val="22"/>
              </w:rPr>
            </w:pPr>
          </w:p>
        </w:tc>
        <w:tc>
          <w:tcPr>
            <w:tcW w:w="646" w:type="dxa"/>
            <w:tcBorders>
              <w:top w:val="nil"/>
              <w:left w:val="nil"/>
              <w:bottom w:val="single" w:color="000000" w:sz="8" w:space="0"/>
              <w:right w:val="single" w:color="000000" w:sz="8" w:space="0"/>
            </w:tcBorders>
            <w:shd w:val="clear" w:color="auto" w:fill="auto"/>
            <w:noWrap/>
            <w:vAlign w:val="center"/>
          </w:tcPr>
          <w:p w14:paraId="210AC9FA">
            <w:pPr>
              <w:snapToGrid w:val="0"/>
              <w:spacing w:line="360" w:lineRule="auto"/>
              <w:rPr>
                <w:rFonts w:hint="eastAsia" w:ascii="仿宋" w:hAnsi="仿宋" w:eastAsia="仿宋" w:cs="仿宋"/>
                <w:b/>
                <w:bCs/>
                <w:color w:val="FF0000"/>
                <w:kern w:val="0"/>
                <w:sz w:val="22"/>
                <w:szCs w:val="22"/>
              </w:rPr>
            </w:pPr>
          </w:p>
        </w:tc>
        <w:tc>
          <w:tcPr>
            <w:tcW w:w="1277" w:type="dxa"/>
            <w:tcBorders>
              <w:top w:val="nil"/>
              <w:left w:val="nil"/>
              <w:bottom w:val="single" w:color="000000" w:sz="8" w:space="0"/>
              <w:right w:val="single" w:color="000000" w:sz="8" w:space="0"/>
            </w:tcBorders>
            <w:shd w:val="clear" w:color="auto" w:fill="auto"/>
            <w:noWrap/>
            <w:vAlign w:val="center"/>
          </w:tcPr>
          <w:p w14:paraId="5F9B432C">
            <w:pPr>
              <w:snapToGrid w:val="0"/>
              <w:spacing w:line="360" w:lineRule="auto"/>
              <w:rPr>
                <w:rFonts w:hint="eastAsia" w:ascii="仿宋" w:hAnsi="仿宋" w:eastAsia="仿宋" w:cs="仿宋"/>
                <w:b/>
                <w:bCs/>
                <w:color w:val="FF0000"/>
                <w:kern w:val="0"/>
                <w:sz w:val="22"/>
                <w:szCs w:val="22"/>
              </w:rPr>
            </w:pPr>
          </w:p>
        </w:tc>
        <w:tc>
          <w:tcPr>
            <w:tcW w:w="1823" w:type="dxa"/>
            <w:tcBorders>
              <w:top w:val="nil"/>
              <w:left w:val="nil"/>
              <w:bottom w:val="single" w:color="000000" w:sz="8" w:space="0"/>
              <w:right w:val="single" w:color="000000" w:sz="8" w:space="0"/>
            </w:tcBorders>
            <w:shd w:val="clear" w:color="auto" w:fill="auto"/>
            <w:noWrap/>
            <w:vAlign w:val="center"/>
          </w:tcPr>
          <w:p w14:paraId="369EA9C1">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标的总价（含税）：13.33</w:t>
            </w:r>
          </w:p>
        </w:tc>
        <w:tc>
          <w:tcPr>
            <w:tcW w:w="2500" w:type="dxa"/>
            <w:tcBorders>
              <w:top w:val="nil"/>
              <w:left w:val="nil"/>
              <w:bottom w:val="single" w:color="000000" w:sz="8" w:space="0"/>
              <w:right w:val="single" w:color="000000" w:sz="8" w:space="0"/>
            </w:tcBorders>
            <w:shd w:val="clear" w:color="auto" w:fill="auto"/>
            <w:noWrap/>
            <w:vAlign w:val="center"/>
          </w:tcPr>
          <w:p w14:paraId="3A020DDE">
            <w:pPr>
              <w:snapToGrid w:val="0"/>
              <w:spacing w:line="360" w:lineRule="auto"/>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12</w:t>
            </w:r>
          </w:p>
        </w:tc>
        <w:tc>
          <w:tcPr>
            <w:tcW w:w="2276" w:type="dxa"/>
            <w:tcBorders>
              <w:top w:val="nil"/>
              <w:left w:val="nil"/>
              <w:bottom w:val="single" w:color="000000" w:sz="8" w:space="0"/>
              <w:right w:val="single" w:color="000000" w:sz="8" w:space="0"/>
            </w:tcBorders>
            <w:shd w:val="clear" w:color="auto" w:fill="auto"/>
            <w:noWrap/>
            <w:vAlign w:val="center"/>
          </w:tcPr>
          <w:p w14:paraId="630295E2">
            <w:pPr>
              <w:snapToGrid w:val="0"/>
              <w:spacing w:line="360" w:lineRule="auto"/>
              <w:rPr>
                <w:rFonts w:hint="eastAsia" w:ascii="仿宋" w:hAnsi="仿宋" w:eastAsia="仿宋" w:cs="仿宋"/>
                <w:b/>
                <w:bCs/>
                <w:color w:val="FF0000"/>
                <w:kern w:val="0"/>
                <w:sz w:val="22"/>
                <w:szCs w:val="22"/>
              </w:rPr>
            </w:pPr>
          </w:p>
        </w:tc>
      </w:tr>
    </w:tbl>
    <w:p w14:paraId="2FA23E40">
      <w:pPr>
        <w:snapToGrid w:val="0"/>
        <w:spacing w:line="360" w:lineRule="auto"/>
        <w:ind w:firstLine="442" w:firstLineChars="200"/>
        <w:rPr>
          <w:rFonts w:hint="eastAsia" w:ascii="仿宋" w:hAnsi="仿宋" w:eastAsia="仿宋" w:cs="仿宋"/>
          <w:b/>
          <w:bCs/>
          <w:color w:val="FF0000"/>
          <w:kern w:val="0"/>
          <w:sz w:val="22"/>
          <w:szCs w:val="22"/>
        </w:rPr>
      </w:pPr>
      <w:r>
        <w:rPr>
          <w:rFonts w:hint="eastAsia" w:ascii="仿宋" w:hAnsi="仿宋" w:eastAsia="仿宋" w:cs="仿宋"/>
          <w:b/>
          <w:bCs/>
          <w:color w:val="FF0000"/>
          <w:kern w:val="0"/>
          <w:sz w:val="22"/>
          <w:szCs w:val="22"/>
        </w:rPr>
        <w:t>反算过程：供应商最低报价总价（12元）/标的总价（13.33元）=90.023%；则所有行项目的最终合同单价均为分项标的单价×90.023%。参与招选&amp;竞拍的单位需无条件执行该原则，如拒不履行，</w:t>
      </w:r>
      <w:r>
        <w:rPr>
          <w:rFonts w:hint="eastAsia" w:ascii="仿宋" w:hAnsi="仿宋" w:eastAsia="仿宋" w:cs="仿宋"/>
          <w:b/>
          <w:bCs/>
          <w:color w:val="FF0000"/>
          <w:kern w:val="0"/>
          <w:sz w:val="22"/>
          <w:szCs w:val="22"/>
          <w:lang w:val="en-US" w:eastAsia="zh-CN"/>
        </w:rPr>
        <w:t>招选单位有权给予</w:t>
      </w:r>
      <w:r>
        <w:rPr>
          <w:rFonts w:hint="eastAsia" w:ascii="仿宋" w:hAnsi="仿宋" w:eastAsia="仿宋" w:cs="仿宋"/>
          <w:b/>
          <w:bCs/>
          <w:color w:val="FF0000"/>
          <w:kern w:val="0"/>
          <w:sz w:val="22"/>
          <w:szCs w:val="22"/>
        </w:rPr>
        <w:t>处罚。</w:t>
      </w:r>
    </w:p>
    <w:p w14:paraId="22651E6E">
      <w:pPr>
        <w:pStyle w:val="53"/>
        <w:numPr>
          <w:ilvl w:val="0"/>
          <w:numId w:val="0"/>
        </w:numPr>
        <w:snapToGrid w:val="0"/>
        <w:spacing w:line="360" w:lineRule="auto"/>
        <w:ind w:left="440" w:leftChars="0"/>
        <w:rPr>
          <w:rFonts w:hint="eastAsia" w:ascii="仿宋" w:hAnsi="仿宋" w:eastAsia="仿宋" w:cs="仿宋"/>
          <w:kern w:val="0"/>
          <w:sz w:val="22"/>
          <w:szCs w:val="22"/>
        </w:rPr>
      </w:pPr>
      <w:r>
        <w:rPr>
          <w:rFonts w:hint="eastAsia" w:ascii="仿宋" w:hAnsi="仿宋" w:eastAsia="仿宋" w:cs="仿宋"/>
          <w:kern w:val="0"/>
          <w:sz w:val="22"/>
          <w:szCs w:val="22"/>
        </w:rPr>
        <w:t>竞拍结束后，报价供应商需在1个工作日内确认最终价格，以便后续工作开展。</w:t>
      </w:r>
    </w:p>
    <w:p w14:paraId="4F86093E">
      <w:pPr>
        <w:snapToGrid w:val="0"/>
        <w:spacing w:line="360" w:lineRule="auto"/>
        <w:ind w:firstLine="442" w:firstLineChars="200"/>
        <w:rPr>
          <w:rFonts w:hint="eastAsia" w:ascii="仿宋" w:hAnsi="仿宋" w:eastAsia="仿宋" w:cs="仿宋"/>
          <w:b/>
          <w:kern w:val="0"/>
          <w:sz w:val="22"/>
          <w:szCs w:val="22"/>
        </w:rPr>
      </w:pPr>
      <w:bookmarkStart w:id="3" w:name="_MON_1810966397"/>
      <w:bookmarkEnd w:id="3"/>
      <w:r>
        <w:rPr>
          <w:rFonts w:hint="eastAsia" w:ascii="仿宋" w:hAnsi="仿宋" w:eastAsia="仿宋" w:cs="仿宋"/>
          <w:b/>
          <w:bCs/>
          <w:color w:val="FF0000"/>
          <w:kern w:val="0"/>
          <w:sz w:val="22"/>
          <w:szCs w:val="22"/>
          <w:lang w:val="en-US" w:eastAsia="zh-CN"/>
        </w:rPr>
        <w:t>操作手册详见附件8：竞拍操作手册-供应商。</w:t>
      </w:r>
    </w:p>
    <w:p w14:paraId="30DD1955">
      <w:pPr>
        <w:snapToGrid w:val="0"/>
        <w:spacing w:line="360" w:lineRule="auto"/>
        <w:rPr>
          <w:rFonts w:hint="eastAsia" w:ascii="仿宋" w:hAnsi="仿宋" w:eastAsia="仿宋" w:cs="仿宋"/>
          <w:b/>
          <w:kern w:val="0"/>
          <w:sz w:val="22"/>
          <w:szCs w:val="22"/>
        </w:rPr>
      </w:pPr>
      <w:r>
        <w:rPr>
          <w:rFonts w:hint="eastAsia" w:ascii="仿宋" w:hAnsi="仿宋" w:eastAsia="仿宋" w:cs="仿宋"/>
          <w:b/>
          <w:kern w:val="0"/>
          <w:sz w:val="22"/>
          <w:szCs w:val="22"/>
        </w:rPr>
        <w:t>十四、中标及合同签订：</w:t>
      </w:r>
    </w:p>
    <w:p w14:paraId="18234824">
      <w:pPr>
        <w:snapToGrid w:val="0"/>
        <w:spacing w:line="360" w:lineRule="auto"/>
        <w:ind w:firstLine="440" w:firstLineChars="200"/>
        <w:rPr>
          <w:rFonts w:hint="eastAsia" w:ascii="仿宋" w:hAnsi="仿宋" w:eastAsia="仿宋" w:cs="仿宋"/>
          <w:kern w:val="0"/>
          <w:sz w:val="22"/>
          <w:szCs w:val="22"/>
        </w:rPr>
      </w:pPr>
      <w:bookmarkStart w:id="4" w:name="_Toc402268788"/>
      <w:bookmarkStart w:id="5" w:name="_Toc497828961"/>
      <w:r>
        <w:rPr>
          <w:rFonts w:hint="eastAsia" w:ascii="仿宋" w:hAnsi="仿宋" w:eastAsia="仿宋" w:cs="仿宋"/>
          <w:kern w:val="0"/>
          <w:sz w:val="22"/>
          <w:szCs w:val="22"/>
        </w:rPr>
        <w:t>1、</w:t>
      </w:r>
      <w:bookmarkEnd w:id="4"/>
      <w:bookmarkEnd w:id="5"/>
      <w:r>
        <w:rPr>
          <w:rFonts w:hint="eastAsia" w:ascii="仿宋" w:hAnsi="仿宋" w:eastAsia="仿宋" w:cs="仿宋"/>
          <w:kern w:val="0"/>
          <w:sz w:val="22"/>
          <w:szCs w:val="22"/>
        </w:rPr>
        <w:t>确定中选单位并通过审批后，招选单位将在华新网上招投标系统上发布中标公示。同时，向中标单位发出中标通知书，并同时将中标结果通知所有未中标的投标人。</w:t>
      </w:r>
    </w:p>
    <w:p w14:paraId="2C4A3CE9">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2、中选单位收到中选通知书后，应根据《中华人民共和国合同法》的规定，依据招选文件，缴纳中选服务费，并按照指定时间、地点与招选单位/下属工厂签订施工合同。</w:t>
      </w:r>
    </w:p>
    <w:p w14:paraId="32CFFB26">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3、中选单位应通过合同方安全资格审核相关内容，必须具备华新水泥股份有限公司《安全生产准入证》。</w:t>
      </w:r>
    </w:p>
    <w:p w14:paraId="7F44246B">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4、合同签订时的相关条款，中选单位将不作任何修改，若中选单位坚持提出修改，则取消中标人的中标资格。若应选单位认为局部有需要协商的条款，请应选单位在招选答疑时提出，但并不表明招选单位会接受。</w:t>
      </w:r>
    </w:p>
    <w:p w14:paraId="1BE567A4">
      <w:pPr>
        <w:snapToGrid w:val="0"/>
        <w:spacing w:line="360" w:lineRule="auto"/>
        <w:ind w:firstLine="440" w:firstLineChars="200"/>
        <w:rPr>
          <w:rFonts w:hint="eastAsia" w:ascii="仿宋" w:hAnsi="仿宋" w:eastAsia="仿宋" w:cs="仿宋"/>
          <w:kern w:val="0"/>
          <w:sz w:val="22"/>
          <w:szCs w:val="22"/>
        </w:rPr>
      </w:pPr>
      <w:r>
        <w:rPr>
          <w:rFonts w:hint="eastAsia" w:ascii="仿宋" w:hAnsi="仿宋" w:eastAsia="仿宋" w:cs="仿宋"/>
          <w:kern w:val="0"/>
          <w:sz w:val="22"/>
          <w:szCs w:val="22"/>
        </w:rPr>
        <w:t>5、对恶意投标、中标后不按合同要求完成施工工程的应选单位，招选单位保留通报批评、索赔、罚款和停止合作的行为。</w:t>
      </w:r>
    </w:p>
    <w:p w14:paraId="2D020B8E">
      <w:pPr>
        <w:snapToGrid w:val="0"/>
        <w:spacing w:line="360" w:lineRule="auto"/>
        <w:ind w:firstLine="442" w:firstLineChars="200"/>
        <w:rPr>
          <w:rFonts w:hint="default" w:ascii="仿宋" w:hAnsi="仿宋" w:eastAsia="仿宋" w:cs="仿宋"/>
          <w:b/>
          <w:bCs/>
          <w:color w:val="FF0000"/>
          <w:kern w:val="0"/>
          <w:sz w:val="22"/>
          <w:szCs w:val="22"/>
          <w:lang w:val="en-US" w:eastAsia="zh-CN"/>
        </w:rPr>
      </w:pPr>
      <w:r>
        <w:rPr>
          <w:rFonts w:hint="eastAsia" w:ascii="仿宋" w:hAnsi="仿宋" w:eastAsia="仿宋" w:cs="仿宋"/>
          <w:b/>
          <w:bCs/>
          <w:color w:val="FF0000"/>
          <w:kern w:val="0"/>
          <w:sz w:val="22"/>
          <w:szCs w:val="22"/>
          <w:lang w:val="en-US" w:eastAsia="zh-CN"/>
        </w:rPr>
        <w:t>详见附件9：合同模版</w:t>
      </w:r>
    </w:p>
    <w:p w14:paraId="1D62A4F2">
      <w:pPr>
        <w:snapToGrid w:val="0"/>
        <w:spacing w:line="360" w:lineRule="auto"/>
        <w:rPr>
          <w:rFonts w:hint="eastAsia" w:ascii="仿宋" w:hAnsi="仿宋" w:eastAsia="仿宋" w:cs="仿宋"/>
          <w:kern w:val="0"/>
          <w:sz w:val="22"/>
          <w:szCs w:val="22"/>
        </w:rPr>
      </w:pPr>
    </w:p>
    <w:sectPr>
      <w:footerReference r:id="rId3" w:type="default"/>
      <w:type w:val="oddPage"/>
      <w:pgSz w:w="11906" w:h="16838"/>
      <w:pgMar w:top="1418" w:right="1106" w:bottom="998" w:left="1259" w:header="851" w:footer="1219" w:gutter="0"/>
      <w:pgNumType w:start="1"/>
      <w:cols w:space="425" w:num="1"/>
      <w:titlePg/>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86A4B">
    <w:pPr>
      <w:pStyle w:val="6"/>
      <w:jc w:val="center"/>
    </w:pPr>
    <w:r>
      <w:fldChar w:fldCharType="begin"/>
    </w:r>
    <w:r>
      <w:instrText xml:space="preserve">PAGE   \* MERGEFORMAT</w:instrText>
    </w:r>
    <w:r>
      <w:fldChar w:fldCharType="separate"/>
    </w:r>
    <w:r>
      <w:rPr>
        <w:lang w:val="zh-CN"/>
      </w:rPr>
      <w:t>7</w:t>
    </w:r>
    <w:r>
      <w:fldChar w:fldCharType="end"/>
    </w:r>
  </w:p>
  <w:p w14:paraId="3F7B9F90">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28415C"/>
    <w:multiLevelType w:val="multilevel"/>
    <w:tmpl w:val="2428415C"/>
    <w:lvl w:ilvl="0" w:tentative="0">
      <w:start w:val="1"/>
      <w:numFmt w:val="chineseCountingThousand"/>
      <w:pStyle w:val="2"/>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923D66A"/>
    <w:multiLevelType w:val="singleLevel"/>
    <w:tmpl w:val="2923D66A"/>
    <w:lvl w:ilvl="0" w:tentative="0">
      <w:start w:val="1"/>
      <w:numFmt w:val="decimal"/>
      <w:suff w:val="space"/>
      <w:lvlText w:val="%1."/>
      <w:lvlJc w:val="left"/>
    </w:lvl>
  </w:abstractNum>
  <w:abstractNum w:abstractNumId="2">
    <w:nsid w:val="46160564"/>
    <w:multiLevelType w:val="multilevel"/>
    <w:tmpl w:val="46160564"/>
    <w:lvl w:ilvl="0" w:tentative="0">
      <w:start w:val="1"/>
      <w:numFmt w:val="decimal"/>
      <w:lvlText w:val="%1、"/>
      <w:lvlJc w:val="left"/>
      <w:pPr>
        <w:ind w:left="800" w:hanging="360"/>
      </w:pPr>
      <w:rPr>
        <w:rFonts w:hint="default"/>
      </w:rPr>
    </w:lvl>
    <w:lvl w:ilvl="1" w:tentative="0">
      <w:start w:val="1"/>
      <w:numFmt w:val="lowerLetter"/>
      <w:lvlText w:val="%2)"/>
      <w:lvlJc w:val="left"/>
      <w:pPr>
        <w:ind w:left="1280" w:hanging="420"/>
      </w:pPr>
    </w:lvl>
    <w:lvl w:ilvl="2" w:tentative="0">
      <w:start w:val="1"/>
      <w:numFmt w:val="lowerRoman"/>
      <w:lvlText w:val="%3."/>
      <w:lvlJc w:val="right"/>
      <w:pPr>
        <w:ind w:left="1700" w:hanging="420"/>
      </w:pPr>
    </w:lvl>
    <w:lvl w:ilvl="3" w:tentative="0">
      <w:start w:val="1"/>
      <w:numFmt w:val="decimal"/>
      <w:lvlText w:val="%4."/>
      <w:lvlJc w:val="left"/>
      <w:pPr>
        <w:ind w:left="2120" w:hanging="420"/>
      </w:pPr>
    </w:lvl>
    <w:lvl w:ilvl="4" w:tentative="0">
      <w:start w:val="1"/>
      <w:numFmt w:val="lowerLetter"/>
      <w:lvlText w:val="%5)"/>
      <w:lvlJc w:val="left"/>
      <w:pPr>
        <w:ind w:left="2540" w:hanging="420"/>
      </w:pPr>
    </w:lvl>
    <w:lvl w:ilvl="5" w:tentative="0">
      <w:start w:val="1"/>
      <w:numFmt w:val="lowerRoman"/>
      <w:lvlText w:val="%6."/>
      <w:lvlJc w:val="right"/>
      <w:pPr>
        <w:ind w:left="2960" w:hanging="420"/>
      </w:pPr>
    </w:lvl>
    <w:lvl w:ilvl="6" w:tentative="0">
      <w:start w:val="1"/>
      <w:numFmt w:val="decimal"/>
      <w:lvlText w:val="%7."/>
      <w:lvlJc w:val="left"/>
      <w:pPr>
        <w:ind w:left="3380" w:hanging="420"/>
      </w:pPr>
    </w:lvl>
    <w:lvl w:ilvl="7" w:tentative="0">
      <w:start w:val="1"/>
      <w:numFmt w:val="lowerLetter"/>
      <w:lvlText w:val="%8)"/>
      <w:lvlJc w:val="left"/>
      <w:pPr>
        <w:ind w:left="3800" w:hanging="420"/>
      </w:pPr>
    </w:lvl>
    <w:lvl w:ilvl="8" w:tentative="0">
      <w:start w:val="1"/>
      <w:numFmt w:val="lowerRoman"/>
      <w:lvlText w:val="%9."/>
      <w:lvlJc w:val="right"/>
      <w:pPr>
        <w:ind w:left="4220" w:hanging="420"/>
      </w:pPr>
    </w:lvl>
  </w:abstractNum>
  <w:abstractNum w:abstractNumId="3">
    <w:nsid w:val="4BC62DEE"/>
    <w:multiLevelType w:val="multilevel"/>
    <w:tmpl w:val="4BC62DEE"/>
    <w:lvl w:ilvl="0" w:tentative="0">
      <w:start w:val="1"/>
      <w:numFmt w:val="decimal"/>
      <w:pStyle w:val="14"/>
      <w:lvlText w:val="%1."/>
      <w:lvlJc w:val="left"/>
      <w:pPr>
        <w:ind w:left="7367" w:hanging="420"/>
      </w:pPr>
    </w:lvl>
    <w:lvl w:ilvl="1" w:tentative="0">
      <w:start w:val="1"/>
      <w:numFmt w:val="lowerLetter"/>
      <w:lvlText w:val="%2)"/>
      <w:lvlJc w:val="left"/>
      <w:pPr>
        <w:ind w:left="7787" w:hanging="420"/>
      </w:pPr>
    </w:lvl>
    <w:lvl w:ilvl="2" w:tentative="0">
      <w:start w:val="1"/>
      <w:numFmt w:val="lowerRoman"/>
      <w:lvlText w:val="%3."/>
      <w:lvlJc w:val="right"/>
      <w:pPr>
        <w:ind w:left="8207" w:hanging="420"/>
      </w:pPr>
    </w:lvl>
    <w:lvl w:ilvl="3" w:tentative="0">
      <w:start w:val="1"/>
      <w:numFmt w:val="decimal"/>
      <w:lvlText w:val="%4."/>
      <w:lvlJc w:val="left"/>
      <w:pPr>
        <w:ind w:left="8627" w:hanging="420"/>
      </w:pPr>
    </w:lvl>
    <w:lvl w:ilvl="4" w:tentative="0">
      <w:start w:val="1"/>
      <w:numFmt w:val="lowerLetter"/>
      <w:lvlText w:val="%5)"/>
      <w:lvlJc w:val="left"/>
      <w:pPr>
        <w:ind w:left="9047" w:hanging="420"/>
      </w:pPr>
    </w:lvl>
    <w:lvl w:ilvl="5" w:tentative="0">
      <w:start w:val="1"/>
      <w:numFmt w:val="lowerRoman"/>
      <w:lvlText w:val="%6."/>
      <w:lvlJc w:val="right"/>
      <w:pPr>
        <w:ind w:left="9467" w:hanging="420"/>
      </w:pPr>
    </w:lvl>
    <w:lvl w:ilvl="6" w:tentative="0">
      <w:start w:val="1"/>
      <w:numFmt w:val="decimal"/>
      <w:lvlText w:val="%7."/>
      <w:lvlJc w:val="left"/>
      <w:pPr>
        <w:ind w:left="9887" w:hanging="420"/>
      </w:pPr>
    </w:lvl>
    <w:lvl w:ilvl="7" w:tentative="0">
      <w:start w:val="1"/>
      <w:numFmt w:val="lowerLetter"/>
      <w:lvlText w:val="%8)"/>
      <w:lvlJc w:val="left"/>
      <w:pPr>
        <w:ind w:left="10307" w:hanging="420"/>
      </w:pPr>
    </w:lvl>
    <w:lvl w:ilvl="8" w:tentative="0">
      <w:start w:val="1"/>
      <w:numFmt w:val="lowerRoman"/>
      <w:lvlText w:val="%9."/>
      <w:lvlJc w:val="right"/>
      <w:pPr>
        <w:ind w:left="10727" w:hanging="420"/>
      </w:pPr>
    </w:lvl>
  </w:abstractNum>
  <w:abstractNum w:abstractNumId="4">
    <w:nsid w:val="4FF4B524"/>
    <w:multiLevelType w:val="singleLevel"/>
    <w:tmpl w:val="4FF4B524"/>
    <w:lvl w:ilvl="0" w:tentative="0">
      <w:start w:val="5"/>
      <w:numFmt w:val="decimal"/>
      <w:suff w:val="nothing"/>
      <w:lvlText w:val="%1、"/>
      <w:lvlJc w:val="left"/>
      <w:pPr>
        <w:ind w:left="735" w:leftChars="0" w:firstLine="0" w:firstLineChars="0"/>
      </w:pPr>
      <w:rPr>
        <w:rFonts w:hint="default"/>
        <w:b/>
        <w:bCs/>
      </w:rPr>
    </w:lvl>
  </w:abstractNum>
  <w:abstractNum w:abstractNumId="5">
    <w:nsid w:val="6D09E6DE"/>
    <w:multiLevelType w:val="singleLevel"/>
    <w:tmpl w:val="6D09E6DE"/>
    <w:lvl w:ilvl="0" w:tentative="0">
      <w:start w:val="1"/>
      <w:numFmt w:val="decimal"/>
      <w:suff w:val="nothing"/>
      <w:lvlText w:val="%1）"/>
      <w:lvlJc w:val="left"/>
    </w:lvl>
  </w:abstractNum>
  <w:abstractNum w:abstractNumId="6">
    <w:nsid w:val="751B05E9"/>
    <w:multiLevelType w:val="singleLevel"/>
    <w:tmpl w:val="751B05E9"/>
    <w:lvl w:ilvl="0" w:tentative="0">
      <w:start w:val="2"/>
      <w:numFmt w:val="chineseCounting"/>
      <w:suff w:val="nothing"/>
      <w:lvlText w:val="%1、"/>
      <w:lvlJc w:val="left"/>
      <w:rPr>
        <w:rFonts w:hint="eastAsia"/>
      </w:rPr>
    </w:lvl>
  </w:abstractNum>
  <w:abstractNum w:abstractNumId="7">
    <w:nsid w:val="7FDC0283"/>
    <w:multiLevelType w:val="multilevel"/>
    <w:tmpl w:val="7FDC0283"/>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3"/>
  </w:num>
  <w:num w:numId="3">
    <w:abstractNumId w:val="1"/>
  </w:num>
  <w:num w:numId="4">
    <w:abstractNumId w:val="5"/>
  </w:num>
  <w:num w:numId="5">
    <w:abstractNumId w:val="4"/>
  </w:num>
  <w:num w:numId="6">
    <w:abstractNumId w:val="7"/>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504"/>
    <w:rsid w:val="00000968"/>
    <w:rsid w:val="00000B3E"/>
    <w:rsid w:val="00000E37"/>
    <w:rsid w:val="0000147E"/>
    <w:rsid w:val="00001760"/>
    <w:rsid w:val="000026A0"/>
    <w:rsid w:val="00003853"/>
    <w:rsid w:val="00003859"/>
    <w:rsid w:val="00003BB8"/>
    <w:rsid w:val="000049F6"/>
    <w:rsid w:val="00005066"/>
    <w:rsid w:val="00005F2B"/>
    <w:rsid w:val="00007238"/>
    <w:rsid w:val="00007AAC"/>
    <w:rsid w:val="00011309"/>
    <w:rsid w:val="00011410"/>
    <w:rsid w:val="000115B2"/>
    <w:rsid w:val="00012056"/>
    <w:rsid w:val="00012802"/>
    <w:rsid w:val="000128D9"/>
    <w:rsid w:val="00014424"/>
    <w:rsid w:val="00014B2E"/>
    <w:rsid w:val="00016808"/>
    <w:rsid w:val="0001715F"/>
    <w:rsid w:val="00017214"/>
    <w:rsid w:val="000175EA"/>
    <w:rsid w:val="00017659"/>
    <w:rsid w:val="00021F0E"/>
    <w:rsid w:val="00022B20"/>
    <w:rsid w:val="00023CC3"/>
    <w:rsid w:val="000253ED"/>
    <w:rsid w:val="0002541D"/>
    <w:rsid w:val="00026E55"/>
    <w:rsid w:val="00027C5F"/>
    <w:rsid w:val="00030E7D"/>
    <w:rsid w:val="000349C2"/>
    <w:rsid w:val="00034FAD"/>
    <w:rsid w:val="0004141E"/>
    <w:rsid w:val="00042B56"/>
    <w:rsid w:val="0004329F"/>
    <w:rsid w:val="00045FFF"/>
    <w:rsid w:val="000460FB"/>
    <w:rsid w:val="000523C5"/>
    <w:rsid w:val="00052652"/>
    <w:rsid w:val="000538E4"/>
    <w:rsid w:val="00054ABC"/>
    <w:rsid w:val="0005566E"/>
    <w:rsid w:val="00055C19"/>
    <w:rsid w:val="000569F9"/>
    <w:rsid w:val="00057F7E"/>
    <w:rsid w:val="000601B3"/>
    <w:rsid w:val="000611C5"/>
    <w:rsid w:val="00061563"/>
    <w:rsid w:val="0006291C"/>
    <w:rsid w:val="00063855"/>
    <w:rsid w:val="00063BF8"/>
    <w:rsid w:val="000649EE"/>
    <w:rsid w:val="0006596E"/>
    <w:rsid w:val="000701D7"/>
    <w:rsid w:val="000714E9"/>
    <w:rsid w:val="00072274"/>
    <w:rsid w:val="00074581"/>
    <w:rsid w:val="00075A52"/>
    <w:rsid w:val="00075C97"/>
    <w:rsid w:val="00077539"/>
    <w:rsid w:val="000808EE"/>
    <w:rsid w:val="00080C92"/>
    <w:rsid w:val="00081499"/>
    <w:rsid w:val="000814DD"/>
    <w:rsid w:val="00081811"/>
    <w:rsid w:val="000818B0"/>
    <w:rsid w:val="000821EC"/>
    <w:rsid w:val="000836EB"/>
    <w:rsid w:val="00084742"/>
    <w:rsid w:val="00084847"/>
    <w:rsid w:val="00084CCF"/>
    <w:rsid w:val="0008638D"/>
    <w:rsid w:val="00086E29"/>
    <w:rsid w:val="00090337"/>
    <w:rsid w:val="0009055F"/>
    <w:rsid w:val="000905BC"/>
    <w:rsid w:val="00091579"/>
    <w:rsid w:val="00092A12"/>
    <w:rsid w:val="00092E59"/>
    <w:rsid w:val="00095497"/>
    <w:rsid w:val="0009684C"/>
    <w:rsid w:val="00096ECB"/>
    <w:rsid w:val="000A018E"/>
    <w:rsid w:val="000A0950"/>
    <w:rsid w:val="000A143D"/>
    <w:rsid w:val="000A40D7"/>
    <w:rsid w:val="000A4228"/>
    <w:rsid w:val="000A4F1F"/>
    <w:rsid w:val="000A5D74"/>
    <w:rsid w:val="000A68CF"/>
    <w:rsid w:val="000A7B98"/>
    <w:rsid w:val="000B0208"/>
    <w:rsid w:val="000B0F25"/>
    <w:rsid w:val="000B14C8"/>
    <w:rsid w:val="000B1BFE"/>
    <w:rsid w:val="000B1FB9"/>
    <w:rsid w:val="000B1FBF"/>
    <w:rsid w:val="000B2310"/>
    <w:rsid w:val="000B4658"/>
    <w:rsid w:val="000B4D75"/>
    <w:rsid w:val="000B508A"/>
    <w:rsid w:val="000B5146"/>
    <w:rsid w:val="000B5662"/>
    <w:rsid w:val="000B6E4D"/>
    <w:rsid w:val="000B74F2"/>
    <w:rsid w:val="000C056C"/>
    <w:rsid w:val="000C4E12"/>
    <w:rsid w:val="000C4F3E"/>
    <w:rsid w:val="000C54FF"/>
    <w:rsid w:val="000C684B"/>
    <w:rsid w:val="000C687C"/>
    <w:rsid w:val="000D02E3"/>
    <w:rsid w:val="000D0A65"/>
    <w:rsid w:val="000D14E5"/>
    <w:rsid w:val="000D1661"/>
    <w:rsid w:val="000D1ED6"/>
    <w:rsid w:val="000D38E2"/>
    <w:rsid w:val="000D4D89"/>
    <w:rsid w:val="000D4E39"/>
    <w:rsid w:val="000D5A0D"/>
    <w:rsid w:val="000D5A6B"/>
    <w:rsid w:val="000D7508"/>
    <w:rsid w:val="000D7626"/>
    <w:rsid w:val="000D7673"/>
    <w:rsid w:val="000D76D8"/>
    <w:rsid w:val="000D7C46"/>
    <w:rsid w:val="000E0EC0"/>
    <w:rsid w:val="000E1C70"/>
    <w:rsid w:val="000E1EA5"/>
    <w:rsid w:val="000E2D63"/>
    <w:rsid w:val="000E3EFD"/>
    <w:rsid w:val="000E6BC1"/>
    <w:rsid w:val="000E6C3D"/>
    <w:rsid w:val="000F00D7"/>
    <w:rsid w:val="000F16CE"/>
    <w:rsid w:val="000F1EBF"/>
    <w:rsid w:val="000F21D8"/>
    <w:rsid w:val="000F2C85"/>
    <w:rsid w:val="000F3902"/>
    <w:rsid w:val="000F45C0"/>
    <w:rsid w:val="000F4966"/>
    <w:rsid w:val="00100215"/>
    <w:rsid w:val="00100D5D"/>
    <w:rsid w:val="00101488"/>
    <w:rsid w:val="00101EA9"/>
    <w:rsid w:val="001022FB"/>
    <w:rsid w:val="00102BEE"/>
    <w:rsid w:val="001035B9"/>
    <w:rsid w:val="00103F34"/>
    <w:rsid w:val="001046EE"/>
    <w:rsid w:val="001048C7"/>
    <w:rsid w:val="00105626"/>
    <w:rsid w:val="001066F8"/>
    <w:rsid w:val="00106CE5"/>
    <w:rsid w:val="0010753D"/>
    <w:rsid w:val="00110567"/>
    <w:rsid w:val="001113C2"/>
    <w:rsid w:val="0011195F"/>
    <w:rsid w:val="00112AFA"/>
    <w:rsid w:val="00112DB5"/>
    <w:rsid w:val="00113514"/>
    <w:rsid w:val="0011471C"/>
    <w:rsid w:val="00114F15"/>
    <w:rsid w:val="00115018"/>
    <w:rsid w:val="00115674"/>
    <w:rsid w:val="00115F30"/>
    <w:rsid w:val="00116289"/>
    <w:rsid w:val="00116B4C"/>
    <w:rsid w:val="001171F2"/>
    <w:rsid w:val="0011767B"/>
    <w:rsid w:val="00121746"/>
    <w:rsid w:val="00122364"/>
    <w:rsid w:val="00124AFB"/>
    <w:rsid w:val="0012502C"/>
    <w:rsid w:val="00126216"/>
    <w:rsid w:val="00127173"/>
    <w:rsid w:val="00127B10"/>
    <w:rsid w:val="001304CD"/>
    <w:rsid w:val="00133220"/>
    <w:rsid w:val="00134519"/>
    <w:rsid w:val="00135468"/>
    <w:rsid w:val="00135EE7"/>
    <w:rsid w:val="00136AF5"/>
    <w:rsid w:val="00136C19"/>
    <w:rsid w:val="00137AA1"/>
    <w:rsid w:val="00137F2A"/>
    <w:rsid w:val="0014338C"/>
    <w:rsid w:val="00143ABA"/>
    <w:rsid w:val="00143DE3"/>
    <w:rsid w:val="00146453"/>
    <w:rsid w:val="00146C06"/>
    <w:rsid w:val="00146C4E"/>
    <w:rsid w:val="0014766B"/>
    <w:rsid w:val="00147EE3"/>
    <w:rsid w:val="00152A4B"/>
    <w:rsid w:val="0015534A"/>
    <w:rsid w:val="001562E0"/>
    <w:rsid w:val="00157248"/>
    <w:rsid w:val="00157644"/>
    <w:rsid w:val="00160A30"/>
    <w:rsid w:val="00162B53"/>
    <w:rsid w:val="001639C0"/>
    <w:rsid w:val="00164386"/>
    <w:rsid w:val="0016455C"/>
    <w:rsid w:val="00165106"/>
    <w:rsid w:val="00165B62"/>
    <w:rsid w:val="00166501"/>
    <w:rsid w:val="00166E39"/>
    <w:rsid w:val="00167AF5"/>
    <w:rsid w:val="0017061B"/>
    <w:rsid w:val="00170AC8"/>
    <w:rsid w:val="00170EEE"/>
    <w:rsid w:val="001710C7"/>
    <w:rsid w:val="001726DC"/>
    <w:rsid w:val="00173505"/>
    <w:rsid w:val="00174E0E"/>
    <w:rsid w:val="00176181"/>
    <w:rsid w:val="0017702F"/>
    <w:rsid w:val="00177C56"/>
    <w:rsid w:val="0018023C"/>
    <w:rsid w:val="00180450"/>
    <w:rsid w:val="00180804"/>
    <w:rsid w:val="00180DF8"/>
    <w:rsid w:val="00180E05"/>
    <w:rsid w:val="0018157C"/>
    <w:rsid w:val="001847D8"/>
    <w:rsid w:val="00185415"/>
    <w:rsid w:val="00185D72"/>
    <w:rsid w:val="00187EFB"/>
    <w:rsid w:val="00191D80"/>
    <w:rsid w:val="001939C4"/>
    <w:rsid w:val="001950FD"/>
    <w:rsid w:val="00195215"/>
    <w:rsid w:val="001956A3"/>
    <w:rsid w:val="00196F6F"/>
    <w:rsid w:val="001973A7"/>
    <w:rsid w:val="001A0A21"/>
    <w:rsid w:val="001A14B5"/>
    <w:rsid w:val="001A1750"/>
    <w:rsid w:val="001A1BE1"/>
    <w:rsid w:val="001A2559"/>
    <w:rsid w:val="001A3628"/>
    <w:rsid w:val="001A3EBF"/>
    <w:rsid w:val="001A4AE0"/>
    <w:rsid w:val="001A7327"/>
    <w:rsid w:val="001B264F"/>
    <w:rsid w:val="001B2E8D"/>
    <w:rsid w:val="001B4152"/>
    <w:rsid w:val="001B5033"/>
    <w:rsid w:val="001B53E9"/>
    <w:rsid w:val="001B5D8B"/>
    <w:rsid w:val="001C112A"/>
    <w:rsid w:val="001C2142"/>
    <w:rsid w:val="001C436D"/>
    <w:rsid w:val="001C5F39"/>
    <w:rsid w:val="001C6810"/>
    <w:rsid w:val="001C6ABE"/>
    <w:rsid w:val="001C6BCA"/>
    <w:rsid w:val="001D15C9"/>
    <w:rsid w:val="001D4302"/>
    <w:rsid w:val="001D49B3"/>
    <w:rsid w:val="001D4DB6"/>
    <w:rsid w:val="001D6455"/>
    <w:rsid w:val="001D6491"/>
    <w:rsid w:val="001E0A34"/>
    <w:rsid w:val="001E0DB6"/>
    <w:rsid w:val="001E405B"/>
    <w:rsid w:val="001E5DBC"/>
    <w:rsid w:val="001E61D5"/>
    <w:rsid w:val="001E632A"/>
    <w:rsid w:val="001E72AB"/>
    <w:rsid w:val="001E7B68"/>
    <w:rsid w:val="001E7EAB"/>
    <w:rsid w:val="001F0193"/>
    <w:rsid w:val="001F03DE"/>
    <w:rsid w:val="001F0F50"/>
    <w:rsid w:val="001F14A3"/>
    <w:rsid w:val="001F16CE"/>
    <w:rsid w:val="001F1EBB"/>
    <w:rsid w:val="001F246E"/>
    <w:rsid w:val="001F4AEA"/>
    <w:rsid w:val="001F4B0F"/>
    <w:rsid w:val="001F4B43"/>
    <w:rsid w:val="001F4DE8"/>
    <w:rsid w:val="002008E5"/>
    <w:rsid w:val="00202432"/>
    <w:rsid w:val="0020487D"/>
    <w:rsid w:val="00204BE4"/>
    <w:rsid w:val="002055A3"/>
    <w:rsid w:val="00206422"/>
    <w:rsid w:val="00206DC3"/>
    <w:rsid w:val="00207434"/>
    <w:rsid w:val="00211306"/>
    <w:rsid w:val="002115F2"/>
    <w:rsid w:val="002117C2"/>
    <w:rsid w:val="0021224F"/>
    <w:rsid w:val="002126D9"/>
    <w:rsid w:val="00212E4D"/>
    <w:rsid w:val="00214A35"/>
    <w:rsid w:val="002154A4"/>
    <w:rsid w:val="002156C3"/>
    <w:rsid w:val="00215755"/>
    <w:rsid w:val="00215801"/>
    <w:rsid w:val="00216064"/>
    <w:rsid w:val="002179CE"/>
    <w:rsid w:val="00220ABE"/>
    <w:rsid w:val="0022178C"/>
    <w:rsid w:val="00221978"/>
    <w:rsid w:val="00222138"/>
    <w:rsid w:val="0022400C"/>
    <w:rsid w:val="0022417F"/>
    <w:rsid w:val="00224593"/>
    <w:rsid w:val="002259C4"/>
    <w:rsid w:val="00225DD1"/>
    <w:rsid w:val="00226FB9"/>
    <w:rsid w:val="00232911"/>
    <w:rsid w:val="00232C97"/>
    <w:rsid w:val="00233F47"/>
    <w:rsid w:val="00234722"/>
    <w:rsid w:val="00234FA7"/>
    <w:rsid w:val="002364CF"/>
    <w:rsid w:val="002368D8"/>
    <w:rsid w:val="00236993"/>
    <w:rsid w:val="00236FD6"/>
    <w:rsid w:val="00240C55"/>
    <w:rsid w:val="00241265"/>
    <w:rsid w:val="00241269"/>
    <w:rsid w:val="002413EB"/>
    <w:rsid w:val="0024146E"/>
    <w:rsid w:val="00241E24"/>
    <w:rsid w:val="00242953"/>
    <w:rsid w:val="00243115"/>
    <w:rsid w:val="00244428"/>
    <w:rsid w:val="00244447"/>
    <w:rsid w:val="0024458E"/>
    <w:rsid w:val="0024483B"/>
    <w:rsid w:val="00245FBC"/>
    <w:rsid w:val="002473E0"/>
    <w:rsid w:val="00250010"/>
    <w:rsid w:val="00250B48"/>
    <w:rsid w:val="00250F9A"/>
    <w:rsid w:val="002516E5"/>
    <w:rsid w:val="00251D8C"/>
    <w:rsid w:val="002525B5"/>
    <w:rsid w:val="00252BC3"/>
    <w:rsid w:val="00252D0A"/>
    <w:rsid w:val="00254FC9"/>
    <w:rsid w:val="002553FB"/>
    <w:rsid w:val="002569CC"/>
    <w:rsid w:val="00262B1A"/>
    <w:rsid w:val="0026324E"/>
    <w:rsid w:val="00263BBF"/>
    <w:rsid w:val="00263CE0"/>
    <w:rsid w:val="00270FB3"/>
    <w:rsid w:val="002712FD"/>
    <w:rsid w:val="0027437A"/>
    <w:rsid w:val="002753B1"/>
    <w:rsid w:val="002801D2"/>
    <w:rsid w:val="002828A9"/>
    <w:rsid w:val="002830A3"/>
    <w:rsid w:val="00283CEF"/>
    <w:rsid w:val="00284711"/>
    <w:rsid w:val="00286128"/>
    <w:rsid w:val="00286F76"/>
    <w:rsid w:val="00287B1A"/>
    <w:rsid w:val="00287F45"/>
    <w:rsid w:val="00291246"/>
    <w:rsid w:val="00291A7B"/>
    <w:rsid w:val="00292559"/>
    <w:rsid w:val="00292901"/>
    <w:rsid w:val="002943F8"/>
    <w:rsid w:val="00294957"/>
    <w:rsid w:val="00295C35"/>
    <w:rsid w:val="00295FEC"/>
    <w:rsid w:val="002967F8"/>
    <w:rsid w:val="00297C52"/>
    <w:rsid w:val="00297F1E"/>
    <w:rsid w:val="002A0EF8"/>
    <w:rsid w:val="002A225F"/>
    <w:rsid w:val="002A2B11"/>
    <w:rsid w:val="002A30E6"/>
    <w:rsid w:val="002A37D7"/>
    <w:rsid w:val="002A4C2B"/>
    <w:rsid w:val="002A5796"/>
    <w:rsid w:val="002A5F2B"/>
    <w:rsid w:val="002B0266"/>
    <w:rsid w:val="002B05C4"/>
    <w:rsid w:val="002B1B0E"/>
    <w:rsid w:val="002B1C14"/>
    <w:rsid w:val="002B24DE"/>
    <w:rsid w:val="002B2DBB"/>
    <w:rsid w:val="002B3385"/>
    <w:rsid w:val="002B3CD6"/>
    <w:rsid w:val="002B3EF9"/>
    <w:rsid w:val="002B3F76"/>
    <w:rsid w:val="002B515D"/>
    <w:rsid w:val="002B7131"/>
    <w:rsid w:val="002C032A"/>
    <w:rsid w:val="002C056A"/>
    <w:rsid w:val="002C05AA"/>
    <w:rsid w:val="002C18CA"/>
    <w:rsid w:val="002C2614"/>
    <w:rsid w:val="002C2B3B"/>
    <w:rsid w:val="002D02A4"/>
    <w:rsid w:val="002D0405"/>
    <w:rsid w:val="002D11DB"/>
    <w:rsid w:val="002D183C"/>
    <w:rsid w:val="002D2491"/>
    <w:rsid w:val="002D404C"/>
    <w:rsid w:val="002D532F"/>
    <w:rsid w:val="002D7170"/>
    <w:rsid w:val="002D7EEB"/>
    <w:rsid w:val="002E0BD8"/>
    <w:rsid w:val="002E2468"/>
    <w:rsid w:val="002E748C"/>
    <w:rsid w:val="002E75AB"/>
    <w:rsid w:val="002E7B6F"/>
    <w:rsid w:val="002E7C41"/>
    <w:rsid w:val="002F0540"/>
    <w:rsid w:val="002F208E"/>
    <w:rsid w:val="002F2C9C"/>
    <w:rsid w:val="002F425E"/>
    <w:rsid w:val="002F4318"/>
    <w:rsid w:val="002F43E7"/>
    <w:rsid w:val="002F5F1B"/>
    <w:rsid w:val="00300FAA"/>
    <w:rsid w:val="00304BC2"/>
    <w:rsid w:val="00304D5B"/>
    <w:rsid w:val="003053FF"/>
    <w:rsid w:val="00305606"/>
    <w:rsid w:val="00305DE4"/>
    <w:rsid w:val="00306286"/>
    <w:rsid w:val="00307155"/>
    <w:rsid w:val="003071AF"/>
    <w:rsid w:val="00310540"/>
    <w:rsid w:val="003114D9"/>
    <w:rsid w:val="00314870"/>
    <w:rsid w:val="00314B78"/>
    <w:rsid w:val="00316F10"/>
    <w:rsid w:val="00320D7E"/>
    <w:rsid w:val="003213B3"/>
    <w:rsid w:val="00322A83"/>
    <w:rsid w:val="00327521"/>
    <w:rsid w:val="00327972"/>
    <w:rsid w:val="00327FB2"/>
    <w:rsid w:val="0033026F"/>
    <w:rsid w:val="00331012"/>
    <w:rsid w:val="00331573"/>
    <w:rsid w:val="00333695"/>
    <w:rsid w:val="0033489A"/>
    <w:rsid w:val="003358A3"/>
    <w:rsid w:val="00336DDA"/>
    <w:rsid w:val="00336F8F"/>
    <w:rsid w:val="003401E1"/>
    <w:rsid w:val="003427AF"/>
    <w:rsid w:val="00342C38"/>
    <w:rsid w:val="00343603"/>
    <w:rsid w:val="00343F4F"/>
    <w:rsid w:val="0034439F"/>
    <w:rsid w:val="00347A7F"/>
    <w:rsid w:val="003500D9"/>
    <w:rsid w:val="00353085"/>
    <w:rsid w:val="003549FA"/>
    <w:rsid w:val="00356477"/>
    <w:rsid w:val="0036034C"/>
    <w:rsid w:val="0036041C"/>
    <w:rsid w:val="003620CA"/>
    <w:rsid w:val="00362B54"/>
    <w:rsid w:val="00363C6E"/>
    <w:rsid w:val="00364601"/>
    <w:rsid w:val="003666DD"/>
    <w:rsid w:val="00366F77"/>
    <w:rsid w:val="0036729D"/>
    <w:rsid w:val="00371E98"/>
    <w:rsid w:val="00372645"/>
    <w:rsid w:val="00372BDD"/>
    <w:rsid w:val="003730E4"/>
    <w:rsid w:val="0037345B"/>
    <w:rsid w:val="00374347"/>
    <w:rsid w:val="00374A5C"/>
    <w:rsid w:val="00374B98"/>
    <w:rsid w:val="0037554C"/>
    <w:rsid w:val="00375629"/>
    <w:rsid w:val="00375632"/>
    <w:rsid w:val="0037611C"/>
    <w:rsid w:val="00380E58"/>
    <w:rsid w:val="00381E80"/>
    <w:rsid w:val="00381F27"/>
    <w:rsid w:val="0038224B"/>
    <w:rsid w:val="003823E2"/>
    <w:rsid w:val="003826AF"/>
    <w:rsid w:val="00383E14"/>
    <w:rsid w:val="00383F67"/>
    <w:rsid w:val="00384C76"/>
    <w:rsid w:val="003854A4"/>
    <w:rsid w:val="00385E46"/>
    <w:rsid w:val="0038639A"/>
    <w:rsid w:val="00386CF8"/>
    <w:rsid w:val="0038723B"/>
    <w:rsid w:val="003902F3"/>
    <w:rsid w:val="00390B54"/>
    <w:rsid w:val="003912FE"/>
    <w:rsid w:val="00394ACD"/>
    <w:rsid w:val="00396B0E"/>
    <w:rsid w:val="00397104"/>
    <w:rsid w:val="003A24DF"/>
    <w:rsid w:val="003A2B30"/>
    <w:rsid w:val="003A3597"/>
    <w:rsid w:val="003A3DAB"/>
    <w:rsid w:val="003A5156"/>
    <w:rsid w:val="003A51C1"/>
    <w:rsid w:val="003A6E92"/>
    <w:rsid w:val="003A79AD"/>
    <w:rsid w:val="003A7B0C"/>
    <w:rsid w:val="003B0E05"/>
    <w:rsid w:val="003B2F36"/>
    <w:rsid w:val="003B3E87"/>
    <w:rsid w:val="003B446F"/>
    <w:rsid w:val="003B44AF"/>
    <w:rsid w:val="003B4C26"/>
    <w:rsid w:val="003C088B"/>
    <w:rsid w:val="003C4C4E"/>
    <w:rsid w:val="003C6024"/>
    <w:rsid w:val="003C6768"/>
    <w:rsid w:val="003C6B90"/>
    <w:rsid w:val="003C6BB4"/>
    <w:rsid w:val="003D0688"/>
    <w:rsid w:val="003D415B"/>
    <w:rsid w:val="003D4C18"/>
    <w:rsid w:val="003D56BB"/>
    <w:rsid w:val="003D73C5"/>
    <w:rsid w:val="003E02D5"/>
    <w:rsid w:val="003E10FB"/>
    <w:rsid w:val="003E2A9B"/>
    <w:rsid w:val="003E2D02"/>
    <w:rsid w:val="003E36FA"/>
    <w:rsid w:val="003E38AD"/>
    <w:rsid w:val="003E419A"/>
    <w:rsid w:val="003E54A7"/>
    <w:rsid w:val="003E54E6"/>
    <w:rsid w:val="003E5986"/>
    <w:rsid w:val="003E62B8"/>
    <w:rsid w:val="003E6B88"/>
    <w:rsid w:val="003F0386"/>
    <w:rsid w:val="003F0796"/>
    <w:rsid w:val="003F08FF"/>
    <w:rsid w:val="003F0BDD"/>
    <w:rsid w:val="003F0EC4"/>
    <w:rsid w:val="003F116F"/>
    <w:rsid w:val="003F1287"/>
    <w:rsid w:val="003F1411"/>
    <w:rsid w:val="003F1466"/>
    <w:rsid w:val="003F33E1"/>
    <w:rsid w:val="003F4346"/>
    <w:rsid w:val="003F5988"/>
    <w:rsid w:val="003F5EFF"/>
    <w:rsid w:val="003F6975"/>
    <w:rsid w:val="003F6CDC"/>
    <w:rsid w:val="003F76C9"/>
    <w:rsid w:val="003F7829"/>
    <w:rsid w:val="0040049A"/>
    <w:rsid w:val="0040062F"/>
    <w:rsid w:val="00400EE3"/>
    <w:rsid w:val="0040104B"/>
    <w:rsid w:val="0040186C"/>
    <w:rsid w:val="00401FFE"/>
    <w:rsid w:val="004026A2"/>
    <w:rsid w:val="00402CFE"/>
    <w:rsid w:val="00403D3B"/>
    <w:rsid w:val="00407326"/>
    <w:rsid w:val="00410736"/>
    <w:rsid w:val="00411F57"/>
    <w:rsid w:val="004151DB"/>
    <w:rsid w:val="004155C2"/>
    <w:rsid w:val="00416AC6"/>
    <w:rsid w:val="00417AA6"/>
    <w:rsid w:val="004208C4"/>
    <w:rsid w:val="00420A66"/>
    <w:rsid w:val="00420D86"/>
    <w:rsid w:val="004259BD"/>
    <w:rsid w:val="00426A4C"/>
    <w:rsid w:val="00426F98"/>
    <w:rsid w:val="004307A5"/>
    <w:rsid w:val="00433659"/>
    <w:rsid w:val="004339AE"/>
    <w:rsid w:val="00433B70"/>
    <w:rsid w:val="00434503"/>
    <w:rsid w:val="004430B6"/>
    <w:rsid w:val="00444453"/>
    <w:rsid w:val="00444558"/>
    <w:rsid w:val="00444CE8"/>
    <w:rsid w:val="00446124"/>
    <w:rsid w:val="00446209"/>
    <w:rsid w:val="00446EED"/>
    <w:rsid w:val="00446EFB"/>
    <w:rsid w:val="004505BC"/>
    <w:rsid w:val="00451572"/>
    <w:rsid w:val="00452B76"/>
    <w:rsid w:val="004537B2"/>
    <w:rsid w:val="00453F3E"/>
    <w:rsid w:val="00454196"/>
    <w:rsid w:val="00454C06"/>
    <w:rsid w:val="004557F2"/>
    <w:rsid w:val="00455C60"/>
    <w:rsid w:val="0045650E"/>
    <w:rsid w:val="00456654"/>
    <w:rsid w:val="0046120D"/>
    <w:rsid w:val="0046315A"/>
    <w:rsid w:val="0046330C"/>
    <w:rsid w:val="00464164"/>
    <w:rsid w:val="00466301"/>
    <w:rsid w:val="00467564"/>
    <w:rsid w:val="00467EB8"/>
    <w:rsid w:val="004701DA"/>
    <w:rsid w:val="004705DD"/>
    <w:rsid w:val="00472C83"/>
    <w:rsid w:val="00474216"/>
    <w:rsid w:val="00476265"/>
    <w:rsid w:val="00477032"/>
    <w:rsid w:val="00477679"/>
    <w:rsid w:val="004776BA"/>
    <w:rsid w:val="0047793F"/>
    <w:rsid w:val="004779E5"/>
    <w:rsid w:val="00482DA5"/>
    <w:rsid w:val="0048389B"/>
    <w:rsid w:val="004839B9"/>
    <w:rsid w:val="004847EB"/>
    <w:rsid w:val="00485464"/>
    <w:rsid w:val="004860BD"/>
    <w:rsid w:val="00486378"/>
    <w:rsid w:val="00486E1A"/>
    <w:rsid w:val="00492A36"/>
    <w:rsid w:val="00493DA6"/>
    <w:rsid w:val="0049504D"/>
    <w:rsid w:val="004958A8"/>
    <w:rsid w:val="00496091"/>
    <w:rsid w:val="00497502"/>
    <w:rsid w:val="004975F0"/>
    <w:rsid w:val="004A01B9"/>
    <w:rsid w:val="004A0669"/>
    <w:rsid w:val="004A0A0A"/>
    <w:rsid w:val="004A0A7A"/>
    <w:rsid w:val="004A0DA5"/>
    <w:rsid w:val="004A2C9C"/>
    <w:rsid w:val="004A4CC0"/>
    <w:rsid w:val="004A650A"/>
    <w:rsid w:val="004B05B9"/>
    <w:rsid w:val="004B0600"/>
    <w:rsid w:val="004B0AAB"/>
    <w:rsid w:val="004B1040"/>
    <w:rsid w:val="004B2273"/>
    <w:rsid w:val="004B2FE8"/>
    <w:rsid w:val="004B5781"/>
    <w:rsid w:val="004B6031"/>
    <w:rsid w:val="004B7469"/>
    <w:rsid w:val="004B764A"/>
    <w:rsid w:val="004C2AA1"/>
    <w:rsid w:val="004C2EA1"/>
    <w:rsid w:val="004C38A9"/>
    <w:rsid w:val="004C4E44"/>
    <w:rsid w:val="004C4EDA"/>
    <w:rsid w:val="004C537F"/>
    <w:rsid w:val="004C5A48"/>
    <w:rsid w:val="004C6671"/>
    <w:rsid w:val="004C6F9F"/>
    <w:rsid w:val="004C741E"/>
    <w:rsid w:val="004C7455"/>
    <w:rsid w:val="004D1F70"/>
    <w:rsid w:val="004D2ECC"/>
    <w:rsid w:val="004D4C07"/>
    <w:rsid w:val="004D5CD7"/>
    <w:rsid w:val="004D65FC"/>
    <w:rsid w:val="004D6B96"/>
    <w:rsid w:val="004D6CE6"/>
    <w:rsid w:val="004D6D90"/>
    <w:rsid w:val="004D71E4"/>
    <w:rsid w:val="004D7CC9"/>
    <w:rsid w:val="004E0BCE"/>
    <w:rsid w:val="004E1CA8"/>
    <w:rsid w:val="004E1EAF"/>
    <w:rsid w:val="004E2376"/>
    <w:rsid w:val="004E2CB9"/>
    <w:rsid w:val="004E3C58"/>
    <w:rsid w:val="004E4CBF"/>
    <w:rsid w:val="004E4DCB"/>
    <w:rsid w:val="004E5184"/>
    <w:rsid w:val="004E52B1"/>
    <w:rsid w:val="004E5AE5"/>
    <w:rsid w:val="004E68F8"/>
    <w:rsid w:val="004E69B2"/>
    <w:rsid w:val="004E7792"/>
    <w:rsid w:val="004F1201"/>
    <w:rsid w:val="004F18A3"/>
    <w:rsid w:val="004F31DA"/>
    <w:rsid w:val="004F436E"/>
    <w:rsid w:val="004F4C93"/>
    <w:rsid w:val="004F4E44"/>
    <w:rsid w:val="004F51FF"/>
    <w:rsid w:val="004F6CD6"/>
    <w:rsid w:val="004F7553"/>
    <w:rsid w:val="004F7883"/>
    <w:rsid w:val="004F7926"/>
    <w:rsid w:val="004F7D80"/>
    <w:rsid w:val="004F7EE2"/>
    <w:rsid w:val="00500D59"/>
    <w:rsid w:val="00500F54"/>
    <w:rsid w:val="00501977"/>
    <w:rsid w:val="00502936"/>
    <w:rsid w:val="0050307F"/>
    <w:rsid w:val="00504A65"/>
    <w:rsid w:val="00505DCD"/>
    <w:rsid w:val="00507729"/>
    <w:rsid w:val="0051035A"/>
    <w:rsid w:val="0051372D"/>
    <w:rsid w:val="005138B8"/>
    <w:rsid w:val="0051488B"/>
    <w:rsid w:val="00515139"/>
    <w:rsid w:val="00515304"/>
    <w:rsid w:val="00515FFF"/>
    <w:rsid w:val="00516303"/>
    <w:rsid w:val="00517C51"/>
    <w:rsid w:val="00517E9A"/>
    <w:rsid w:val="00521595"/>
    <w:rsid w:val="00523081"/>
    <w:rsid w:val="00523135"/>
    <w:rsid w:val="005238E1"/>
    <w:rsid w:val="0052398C"/>
    <w:rsid w:val="00523F95"/>
    <w:rsid w:val="005242D3"/>
    <w:rsid w:val="00525319"/>
    <w:rsid w:val="005271C0"/>
    <w:rsid w:val="00531232"/>
    <w:rsid w:val="00531B49"/>
    <w:rsid w:val="0053242B"/>
    <w:rsid w:val="00532857"/>
    <w:rsid w:val="005329F6"/>
    <w:rsid w:val="00532D4E"/>
    <w:rsid w:val="0053307C"/>
    <w:rsid w:val="00535587"/>
    <w:rsid w:val="00537001"/>
    <w:rsid w:val="005370D5"/>
    <w:rsid w:val="00537762"/>
    <w:rsid w:val="00537FB8"/>
    <w:rsid w:val="00540A54"/>
    <w:rsid w:val="00540D21"/>
    <w:rsid w:val="00540F20"/>
    <w:rsid w:val="005410A7"/>
    <w:rsid w:val="0054126E"/>
    <w:rsid w:val="005414F2"/>
    <w:rsid w:val="00542866"/>
    <w:rsid w:val="00542C10"/>
    <w:rsid w:val="00546565"/>
    <w:rsid w:val="00546A9A"/>
    <w:rsid w:val="0055245C"/>
    <w:rsid w:val="00553658"/>
    <w:rsid w:val="00556435"/>
    <w:rsid w:val="0055686C"/>
    <w:rsid w:val="005570DF"/>
    <w:rsid w:val="0056069B"/>
    <w:rsid w:val="00560C2A"/>
    <w:rsid w:val="005617A3"/>
    <w:rsid w:val="005644AD"/>
    <w:rsid w:val="00565DCA"/>
    <w:rsid w:val="00566E46"/>
    <w:rsid w:val="00566FA0"/>
    <w:rsid w:val="0057221F"/>
    <w:rsid w:val="00574ED1"/>
    <w:rsid w:val="005752DD"/>
    <w:rsid w:val="00575DE9"/>
    <w:rsid w:val="0057696A"/>
    <w:rsid w:val="00576A17"/>
    <w:rsid w:val="005804B2"/>
    <w:rsid w:val="00580C02"/>
    <w:rsid w:val="00580EB4"/>
    <w:rsid w:val="00581861"/>
    <w:rsid w:val="005829AA"/>
    <w:rsid w:val="00582C8D"/>
    <w:rsid w:val="00583F92"/>
    <w:rsid w:val="00585D6D"/>
    <w:rsid w:val="00586854"/>
    <w:rsid w:val="00586BEC"/>
    <w:rsid w:val="0058722A"/>
    <w:rsid w:val="0059187C"/>
    <w:rsid w:val="00591DBF"/>
    <w:rsid w:val="00591FD8"/>
    <w:rsid w:val="00593A7F"/>
    <w:rsid w:val="00593D43"/>
    <w:rsid w:val="00597301"/>
    <w:rsid w:val="00597943"/>
    <w:rsid w:val="005A1FD2"/>
    <w:rsid w:val="005A2380"/>
    <w:rsid w:val="005A433A"/>
    <w:rsid w:val="005A4B9A"/>
    <w:rsid w:val="005A4BEE"/>
    <w:rsid w:val="005A5346"/>
    <w:rsid w:val="005A6E68"/>
    <w:rsid w:val="005A7A23"/>
    <w:rsid w:val="005B0462"/>
    <w:rsid w:val="005B0C65"/>
    <w:rsid w:val="005B12C0"/>
    <w:rsid w:val="005B1374"/>
    <w:rsid w:val="005B1E27"/>
    <w:rsid w:val="005B2F81"/>
    <w:rsid w:val="005B3D64"/>
    <w:rsid w:val="005B3F85"/>
    <w:rsid w:val="005B4CE8"/>
    <w:rsid w:val="005C0CB1"/>
    <w:rsid w:val="005C1169"/>
    <w:rsid w:val="005C24B0"/>
    <w:rsid w:val="005C29B6"/>
    <w:rsid w:val="005C44F0"/>
    <w:rsid w:val="005C4B25"/>
    <w:rsid w:val="005C583A"/>
    <w:rsid w:val="005C591F"/>
    <w:rsid w:val="005C5ED9"/>
    <w:rsid w:val="005C721F"/>
    <w:rsid w:val="005D258C"/>
    <w:rsid w:val="005D2868"/>
    <w:rsid w:val="005D49DC"/>
    <w:rsid w:val="005D4D5B"/>
    <w:rsid w:val="005D5D34"/>
    <w:rsid w:val="005D6387"/>
    <w:rsid w:val="005D7B84"/>
    <w:rsid w:val="005E00E9"/>
    <w:rsid w:val="005E06C5"/>
    <w:rsid w:val="005E07D7"/>
    <w:rsid w:val="005E15A5"/>
    <w:rsid w:val="005E1666"/>
    <w:rsid w:val="005E3D7F"/>
    <w:rsid w:val="005E4C73"/>
    <w:rsid w:val="005E5DF4"/>
    <w:rsid w:val="005E7307"/>
    <w:rsid w:val="005F0FEC"/>
    <w:rsid w:val="005F30BB"/>
    <w:rsid w:val="005F41D7"/>
    <w:rsid w:val="005F517D"/>
    <w:rsid w:val="005F5559"/>
    <w:rsid w:val="005F62A0"/>
    <w:rsid w:val="005F6CEB"/>
    <w:rsid w:val="005F6DE1"/>
    <w:rsid w:val="005F7021"/>
    <w:rsid w:val="005F713A"/>
    <w:rsid w:val="005F74B9"/>
    <w:rsid w:val="006000DC"/>
    <w:rsid w:val="00600AC1"/>
    <w:rsid w:val="00602700"/>
    <w:rsid w:val="00602D3C"/>
    <w:rsid w:val="00603E0B"/>
    <w:rsid w:val="0060433E"/>
    <w:rsid w:val="00604EA7"/>
    <w:rsid w:val="0060568C"/>
    <w:rsid w:val="006057B4"/>
    <w:rsid w:val="00605918"/>
    <w:rsid w:val="00605CEB"/>
    <w:rsid w:val="00606BF6"/>
    <w:rsid w:val="00607C3A"/>
    <w:rsid w:val="00607FF8"/>
    <w:rsid w:val="006105F0"/>
    <w:rsid w:val="00610A95"/>
    <w:rsid w:val="006118A3"/>
    <w:rsid w:val="006118ED"/>
    <w:rsid w:val="00613F18"/>
    <w:rsid w:val="00614C0E"/>
    <w:rsid w:val="00615456"/>
    <w:rsid w:val="00616A94"/>
    <w:rsid w:val="00617152"/>
    <w:rsid w:val="006174B9"/>
    <w:rsid w:val="00617585"/>
    <w:rsid w:val="00620AEA"/>
    <w:rsid w:val="00620D13"/>
    <w:rsid w:val="006214CE"/>
    <w:rsid w:val="00621BB9"/>
    <w:rsid w:val="006233EE"/>
    <w:rsid w:val="0062420C"/>
    <w:rsid w:val="00625426"/>
    <w:rsid w:val="006260C8"/>
    <w:rsid w:val="00627AFD"/>
    <w:rsid w:val="00627BAF"/>
    <w:rsid w:val="00632967"/>
    <w:rsid w:val="00634A46"/>
    <w:rsid w:val="00635305"/>
    <w:rsid w:val="00636BC9"/>
    <w:rsid w:val="00637DC2"/>
    <w:rsid w:val="00640083"/>
    <w:rsid w:val="00641AF6"/>
    <w:rsid w:val="00641B6A"/>
    <w:rsid w:val="0064245A"/>
    <w:rsid w:val="00644B1D"/>
    <w:rsid w:val="00646CF9"/>
    <w:rsid w:val="00651DFA"/>
    <w:rsid w:val="006523F0"/>
    <w:rsid w:val="006532CA"/>
    <w:rsid w:val="00653425"/>
    <w:rsid w:val="00653683"/>
    <w:rsid w:val="00654CC4"/>
    <w:rsid w:val="0065504A"/>
    <w:rsid w:val="00655A30"/>
    <w:rsid w:val="00656311"/>
    <w:rsid w:val="00657129"/>
    <w:rsid w:val="0065774E"/>
    <w:rsid w:val="00660029"/>
    <w:rsid w:val="0066032F"/>
    <w:rsid w:val="0066156C"/>
    <w:rsid w:val="00663151"/>
    <w:rsid w:val="00664FD7"/>
    <w:rsid w:val="00665807"/>
    <w:rsid w:val="006674D9"/>
    <w:rsid w:val="0067032B"/>
    <w:rsid w:val="00670E21"/>
    <w:rsid w:val="00672087"/>
    <w:rsid w:val="0067379D"/>
    <w:rsid w:val="00674025"/>
    <w:rsid w:val="00676C4E"/>
    <w:rsid w:val="00676FAA"/>
    <w:rsid w:val="0068020D"/>
    <w:rsid w:val="00680B05"/>
    <w:rsid w:val="006820CA"/>
    <w:rsid w:val="0068598F"/>
    <w:rsid w:val="00687516"/>
    <w:rsid w:val="006902CF"/>
    <w:rsid w:val="00692369"/>
    <w:rsid w:val="0069295D"/>
    <w:rsid w:val="00692ADE"/>
    <w:rsid w:val="00693A60"/>
    <w:rsid w:val="00694315"/>
    <w:rsid w:val="0069436B"/>
    <w:rsid w:val="00695243"/>
    <w:rsid w:val="00695BF7"/>
    <w:rsid w:val="006973FA"/>
    <w:rsid w:val="006A065F"/>
    <w:rsid w:val="006A23D3"/>
    <w:rsid w:val="006A2D20"/>
    <w:rsid w:val="006A44A2"/>
    <w:rsid w:val="006A45A5"/>
    <w:rsid w:val="006A5B9A"/>
    <w:rsid w:val="006A66AE"/>
    <w:rsid w:val="006A7AF5"/>
    <w:rsid w:val="006B02AF"/>
    <w:rsid w:val="006B0500"/>
    <w:rsid w:val="006B19D3"/>
    <w:rsid w:val="006B3213"/>
    <w:rsid w:val="006B4977"/>
    <w:rsid w:val="006B558D"/>
    <w:rsid w:val="006B5C3B"/>
    <w:rsid w:val="006B69FE"/>
    <w:rsid w:val="006B7B13"/>
    <w:rsid w:val="006C0F0E"/>
    <w:rsid w:val="006C2333"/>
    <w:rsid w:val="006C256A"/>
    <w:rsid w:val="006C2FB7"/>
    <w:rsid w:val="006C39C8"/>
    <w:rsid w:val="006C593F"/>
    <w:rsid w:val="006C5F59"/>
    <w:rsid w:val="006C6411"/>
    <w:rsid w:val="006C6638"/>
    <w:rsid w:val="006C7294"/>
    <w:rsid w:val="006D0463"/>
    <w:rsid w:val="006D0BAC"/>
    <w:rsid w:val="006D2AA5"/>
    <w:rsid w:val="006D5529"/>
    <w:rsid w:val="006E10E4"/>
    <w:rsid w:val="006E12F8"/>
    <w:rsid w:val="006E2714"/>
    <w:rsid w:val="006E2AE3"/>
    <w:rsid w:val="006E4B1F"/>
    <w:rsid w:val="006E62EA"/>
    <w:rsid w:val="006F0136"/>
    <w:rsid w:val="006F0920"/>
    <w:rsid w:val="006F166A"/>
    <w:rsid w:val="006F217B"/>
    <w:rsid w:val="006F36BD"/>
    <w:rsid w:val="006F3C56"/>
    <w:rsid w:val="006F41BB"/>
    <w:rsid w:val="006F5FFA"/>
    <w:rsid w:val="0070012E"/>
    <w:rsid w:val="00702DBB"/>
    <w:rsid w:val="00703690"/>
    <w:rsid w:val="007045E1"/>
    <w:rsid w:val="00705322"/>
    <w:rsid w:val="00706B3E"/>
    <w:rsid w:val="007070C9"/>
    <w:rsid w:val="00707DD4"/>
    <w:rsid w:val="00710AAE"/>
    <w:rsid w:val="00710F46"/>
    <w:rsid w:val="007117BA"/>
    <w:rsid w:val="00711C14"/>
    <w:rsid w:val="00711DE0"/>
    <w:rsid w:val="00712832"/>
    <w:rsid w:val="007139CD"/>
    <w:rsid w:val="00713C2D"/>
    <w:rsid w:val="00715AD1"/>
    <w:rsid w:val="00716B73"/>
    <w:rsid w:val="007218BC"/>
    <w:rsid w:val="007225A5"/>
    <w:rsid w:val="00722636"/>
    <w:rsid w:val="007226A3"/>
    <w:rsid w:val="00723624"/>
    <w:rsid w:val="0072442D"/>
    <w:rsid w:val="007275F5"/>
    <w:rsid w:val="00730D3F"/>
    <w:rsid w:val="00730E3A"/>
    <w:rsid w:val="00731FA1"/>
    <w:rsid w:val="00732D41"/>
    <w:rsid w:val="00733F63"/>
    <w:rsid w:val="00734168"/>
    <w:rsid w:val="007359F6"/>
    <w:rsid w:val="0073637C"/>
    <w:rsid w:val="007417C2"/>
    <w:rsid w:val="00741AE0"/>
    <w:rsid w:val="0074263A"/>
    <w:rsid w:val="007434B3"/>
    <w:rsid w:val="007440E3"/>
    <w:rsid w:val="00744257"/>
    <w:rsid w:val="007449B3"/>
    <w:rsid w:val="00745097"/>
    <w:rsid w:val="00745681"/>
    <w:rsid w:val="00746D98"/>
    <w:rsid w:val="00747926"/>
    <w:rsid w:val="00750C0A"/>
    <w:rsid w:val="00750EA4"/>
    <w:rsid w:val="007511D8"/>
    <w:rsid w:val="007518AC"/>
    <w:rsid w:val="00753052"/>
    <w:rsid w:val="00754322"/>
    <w:rsid w:val="00754618"/>
    <w:rsid w:val="00754712"/>
    <w:rsid w:val="00755C1B"/>
    <w:rsid w:val="00755E84"/>
    <w:rsid w:val="0075633F"/>
    <w:rsid w:val="0075673F"/>
    <w:rsid w:val="00756A69"/>
    <w:rsid w:val="00757ECA"/>
    <w:rsid w:val="007608FD"/>
    <w:rsid w:val="007610E2"/>
    <w:rsid w:val="00761702"/>
    <w:rsid w:val="00762542"/>
    <w:rsid w:val="0076305D"/>
    <w:rsid w:val="00763A27"/>
    <w:rsid w:val="00764491"/>
    <w:rsid w:val="00770739"/>
    <w:rsid w:val="007720DE"/>
    <w:rsid w:val="00773531"/>
    <w:rsid w:val="007736B1"/>
    <w:rsid w:val="007745AF"/>
    <w:rsid w:val="00774F12"/>
    <w:rsid w:val="00774FD5"/>
    <w:rsid w:val="007751D8"/>
    <w:rsid w:val="007756DB"/>
    <w:rsid w:val="00775D8D"/>
    <w:rsid w:val="00776713"/>
    <w:rsid w:val="00776DA8"/>
    <w:rsid w:val="00781046"/>
    <w:rsid w:val="007814C3"/>
    <w:rsid w:val="00782E76"/>
    <w:rsid w:val="007848FD"/>
    <w:rsid w:val="007856D4"/>
    <w:rsid w:val="00787BFE"/>
    <w:rsid w:val="00787F3E"/>
    <w:rsid w:val="00787F44"/>
    <w:rsid w:val="007910CA"/>
    <w:rsid w:val="00791759"/>
    <w:rsid w:val="00792218"/>
    <w:rsid w:val="007922FB"/>
    <w:rsid w:val="0079341A"/>
    <w:rsid w:val="00793713"/>
    <w:rsid w:val="007937DF"/>
    <w:rsid w:val="00793AE9"/>
    <w:rsid w:val="007967D5"/>
    <w:rsid w:val="00797140"/>
    <w:rsid w:val="007A1899"/>
    <w:rsid w:val="007A1E24"/>
    <w:rsid w:val="007A1EB1"/>
    <w:rsid w:val="007A2AA6"/>
    <w:rsid w:val="007A32F8"/>
    <w:rsid w:val="007A3481"/>
    <w:rsid w:val="007A5918"/>
    <w:rsid w:val="007A6FF1"/>
    <w:rsid w:val="007A7129"/>
    <w:rsid w:val="007A7415"/>
    <w:rsid w:val="007B0746"/>
    <w:rsid w:val="007B15FA"/>
    <w:rsid w:val="007B25A1"/>
    <w:rsid w:val="007B3531"/>
    <w:rsid w:val="007B3685"/>
    <w:rsid w:val="007B403E"/>
    <w:rsid w:val="007B59B8"/>
    <w:rsid w:val="007C047F"/>
    <w:rsid w:val="007C091E"/>
    <w:rsid w:val="007C0BC0"/>
    <w:rsid w:val="007C0C81"/>
    <w:rsid w:val="007C11C7"/>
    <w:rsid w:val="007C1A9E"/>
    <w:rsid w:val="007C23C2"/>
    <w:rsid w:val="007C4760"/>
    <w:rsid w:val="007C63B1"/>
    <w:rsid w:val="007C7312"/>
    <w:rsid w:val="007C734C"/>
    <w:rsid w:val="007D03BF"/>
    <w:rsid w:val="007D0C6E"/>
    <w:rsid w:val="007D0F7B"/>
    <w:rsid w:val="007D15BF"/>
    <w:rsid w:val="007D16F2"/>
    <w:rsid w:val="007D7436"/>
    <w:rsid w:val="007E134D"/>
    <w:rsid w:val="007E254F"/>
    <w:rsid w:val="007E2EDC"/>
    <w:rsid w:val="007E32FA"/>
    <w:rsid w:val="007E362E"/>
    <w:rsid w:val="007E3A82"/>
    <w:rsid w:val="007E574C"/>
    <w:rsid w:val="007E65E9"/>
    <w:rsid w:val="007E7166"/>
    <w:rsid w:val="007F248B"/>
    <w:rsid w:val="007F25A1"/>
    <w:rsid w:val="007F2660"/>
    <w:rsid w:val="007F49DF"/>
    <w:rsid w:val="007F6158"/>
    <w:rsid w:val="007F6454"/>
    <w:rsid w:val="007F6E1A"/>
    <w:rsid w:val="00800106"/>
    <w:rsid w:val="00801100"/>
    <w:rsid w:val="008017F5"/>
    <w:rsid w:val="008026B3"/>
    <w:rsid w:val="00802717"/>
    <w:rsid w:val="00804E08"/>
    <w:rsid w:val="008065B2"/>
    <w:rsid w:val="00806AE0"/>
    <w:rsid w:val="00811186"/>
    <w:rsid w:val="00812741"/>
    <w:rsid w:val="00814310"/>
    <w:rsid w:val="00816102"/>
    <w:rsid w:val="008179A2"/>
    <w:rsid w:val="00821A2B"/>
    <w:rsid w:val="00823122"/>
    <w:rsid w:val="00823969"/>
    <w:rsid w:val="00823F2C"/>
    <w:rsid w:val="0082400E"/>
    <w:rsid w:val="00825689"/>
    <w:rsid w:val="00826184"/>
    <w:rsid w:val="0082745C"/>
    <w:rsid w:val="008274E6"/>
    <w:rsid w:val="008321A5"/>
    <w:rsid w:val="00834609"/>
    <w:rsid w:val="00834741"/>
    <w:rsid w:val="008350F6"/>
    <w:rsid w:val="00835906"/>
    <w:rsid w:val="008379C3"/>
    <w:rsid w:val="008407B2"/>
    <w:rsid w:val="00846668"/>
    <w:rsid w:val="008467CE"/>
    <w:rsid w:val="0084683D"/>
    <w:rsid w:val="008471FA"/>
    <w:rsid w:val="008524B1"/>
    <w:rsid w:val="008526F3"/>
    <w:rsid w:val="008530CD"/>
    <w:rsid w:val="00855AA2"/>
    <w:rsid w:val="008566EF"/>
    <w:rsid w:val="00860ADC"/>
    <w:rsid w:val="008628F7"/>
    <w:rsid w:val="00863C6B"/>
    <w:rsid w:val="008660A4"/>
    <w:rsid w:val="008704B8"/>
    <w:rsid w:val="00870B41"/>
    <w:rsid w:val="00871BB9"/>
    <w:rsid w:val="00872475"/>
    <w:rsid w:val="00873AD6"/>
    <w:rsid w:val="00875183"/>
    <w:rsid w:val="00875881"/>
    <w:rsid w:val="00875D4F"/>
    <w:rsid w:val="008766B5"/>
    <w:rsid w:val="00876F21"/>
    <w:rsid w:val="008776F2"/>
    <w:rsid w:val="008779EF"/>
    <w:rsid w:val="00880324"/>
    <w:rsid w:val="0088045D"/>
    <w:rsid w:val="00880F14"/>
    <w:rsid w:val="008810DC"/>
    <w:rsid w:val="00882006"/>
    <w:rsid w:val="008838E5"/>
    <w:rsid w:val="00883E83"/>
    <w:rsid w:val="008852F5"/>
    <w:rsid w:val="00885457"/>
    <w:rsid w:val="00887531"/>
    <w:rsid w:val="008903F0"/>
    <w:rsid w:val="00890486"/>
    <w:rsid w:val="0089169B"/>
    <w:rsid w:val="00891D40"/>
    <w:rsid w:val="00892044"/>
    <w:rsid w:val="00895745"/>
    <w:rsid w:val="00896DE9"/>
    <w:rsid w:val="008979F0"/>
    <w:rsid w:val="008A1663"/>
    <w:rsid w:val="008A1ADE"/>
    <w:rsid w:val="008A1E97"/>
    <w:rsid w:val="008A1F95"/>
    <w:rsid w:val="008A40C3"/>
    <w:rsid w:val="008A423A"/>
    <w:rsid w:val="008A4EFA"/>
    <w:rsid w:val="008A7142"/>
    <w:rsid w:val="008A7C7D"/>
    <w:rsid w:val="008B0EB2"/>
    <w:rsid w:val="008B3531"/>
    <w:rsid w:val="008B374C"/>
    <w:rsid w:val="008B51F5"/>
    <w:rsid w:val="008B5C8F"/>
    <w:rsid w:val="008B7C33"/>
    <w:rsid w:val="008C176C"/>
    <w:rsid w:val="008C564B"/>
    <w:rsid w:val="008C5B65"/>
    <w:rsid w:val="008D0503"/>
    <w:rsid w:val="008D07C9"/>
    <w:rsid w:val="008D0829"/>
    <w:rsid w:val="008D0F10"/>
    <w:rsid w:val="008D108E"/>
    <w:rsid w:val="008D26C4"/>
    <w:rsid w:val="008D2847"/>
    <w:rsid w:val="008D39C4"/>
    <w:rsid w:val="008D5151"/>
    <w:rsid w:val="008D5972"/>
    <w:rsid w:val="008D5CE1"/>
    <w:rsid w:val="008D6627"/>
    <w:rsid w:val="008D66F9"/>
    <w:rsid w:val="008E0361"/>
    <w:rsid w:val="008E1DF2"/>
    <w:rsid w:val="008E2433"/>
    <w:rsid w:val="008E2E4E"/>
    <w:rsid w:val="008E3C53"/>
    <w:rsid w:val="008E6840"/>
    <w:rsid w:val="008E7400"/>
    <w:rsid w:val="008E7D34"/>
    <w:rsid w:val="008F0ACA"/>
    <w:rsid w:val="008F1602"/>
    <w:rsid w:val="008F2A4D"/>
    <w:rsid w:val="008F2F1D"/>
    <w:rsid w:val="008F4600"/>
    <w:rsid w:val="008F473A"/>
    <w:rsid w:val="008F4B9E"/>
    <w:rsid w:val="008F6D2C"/>
    <w:rsid w:val="008F7185"/>
    <w:rsid w:val="00902379"/>
    <w:rsid w:val="0090480F"/>
    <w:rsid w:val="00905605"/>
    <w:rsid w:val="00905DCA"/>
    <w:rsid w:val="009060DE"/>
    <w:rsid w:val="00906E4A"/>
    <w:rsid w:val="009070DC"/>
    <w:rsid w:val="009071BA"/>
    <w:rsid w:val="00907370"/>
    <w:rsid w:val="009109B7"/>
    <w:rsid w:val="009127CD"/>
    <w:rsid w:val="00912E0A"/>
    <w:rsid w:val="00914685"/>
    <w:rsid w:val="00915656"/>
    <w:rsid w:val="0091576D"/>
    <w:rsid w:val="00917F33"/>
    <w:rsid w:val="00920FDC"/>
    <w:rsid w:val="00921184"/>
    <w:rsid w:val="009222CF"/>
    <w:rsid w:val="00922ACF"/>
    <w:rsid w:val="00925712"/>
    <w:rsid w:val="00925D43"/>
    <w:rsid w:val="00926F5F"/>
    <w:rsid w:val="00930151"/>
    <w:rsid w:val="009306B8"/>
    <w:rsid w:val="00931D42"/>
    <w:rsid w:val="009323B7"/>
    <w:rsid w:val="0093319E"/>
    <w:rsid w:val="0093326B"/>
    <w:rsid w:val="00933758"/>
    <w:rsid w:val="00933B2F"/>
    <w:rsid w:val="009340CD"/>
    <w:rsid w:val="009343BC"/>
    <w:rsid w:val="00934EC8"/>
    <w:rsid w:val="00936013"/>
    <w:rsid w:val="00937BEE"/>
    <w:rsid w:val="00941487"/>
    <w:rsid w:val="00942A42"/>
    <w:rsid w:val="00943243"/>
    <w:rsid w:val="009438EF"/>
    <w:rsid w:val="00943FB7"/>
    <w:rsid w:val="00944A58"/>
    <w:rsid w:val="009458BF"/>
    <w:rsid w:val="00946045"/>
    <w:rsid w:val="009465B6"/>
    <w:rsid w:val="00951A54"/>
    <w:rsid w:val="00951B1A"/>
    <w:rsid w:val="009523FF"/>
    <w:rsid w:val="0095342E"/>
    <w:rsid w:val="00954755"/>
    <w:rsid w:val="0095630E"/>
    <w:rsid w:val="00956CBC"/>
    <w:rsid w:val="0095771F"/>
    <w:rsid w:val="00960C4F"/>
    <w:rsid w:val="009617D2"/>
    <w:rsid w:val="0096237D"/>
    <w:rsid w:val="00965A75"/>
    <w:rsid w:val="00965BE1"/>
    <w:rsid w:val="009670A8"/>
    <w:rsid w:val="00967245"/>
    <w:rsid w:val="009678FA"/>
    <w:rsid w:val="00967D24"/>
    <w:rsid w:val="00973378"/>
    <w:rsid w:val="009736C2"/>
    <w:rsid w:val="00975510"/>
    <w:rsid w:val="0097671C"/>
    <w:rsid w:val="0097678D"/>
    <w:rsid w:val="00976FD9"/>
    <w:rsid w:val="00981598"/>
    <w:rsid w:val="009824D3"/>
    <w:rsid w:val="00983244"/>
    <w:rsid w:val="00984127"/>
    <w:rsid w:val="00984D6F"/>
    <w:rsid w:val="0098500D"/>
    <w:rsid w:val="0098578F"/>
    <w:rsid w:val="00986AC0"/>
    <w:rsid w:val="00990100"/>
    <w:rsid w:val="00990D29"/>
    <w:rsid w:val="00991AA9"/>
    <w:rsid w:val="00991B7B"/>
    <w:rsid w:val="00995A72"/>
    <w:rsid w:val="00996062"/>
    <w:rsid w:val="009973D2"/>
    <w:rsid w:val="009A12AD"/>
    <w:rsid w:val="009A356F"/>
    <w:rsid w:val="009A3749"/>
    <w:rsid w:val="009A5150"/>
    <w:rsid w:val="009A593F"/>
    <w:rsid w:val="009A5DE0"/>
    <w:rsid w:val="009A78B8"/>
    <w:rsid w:val="009B07E0"/>
    <w:rsid w:val="009B099E"/>
    <w:rsid w:val="009B0F45"/>
    <w:rsid w:val="009B2FCF"/>
    <w:rsid w:val="009B36DC"/>
    <w:rsid w:val="009B3DB3"/>
    <w:rsid w:val="009B3DD1"/>
    <w:rsid w:val="009B3F42"/>
    <w:rsid w:val="009B510A"/>
    <w:rsid w:val="009B5EA5"/>
    <w:rsid w:val="009B63E6"/>
    <w:rsid w:val="009C1803"/>
    <w:rsid w:val="009C1C7B"/>
    <w:rsid w:val="009C21DC"/>
    <w:rsid w:val="009C2291"/>
    <w:rsid w:val="009C31BA"/>
    <w:rsid w:val="009C588F"/>
    <w:rsid w:val="009C58EC"/>
    <w:rsid w:val="009C6135"/>
    <w:rsid w:val="009C66C5"/>
    <w:rsid w:val="009C7C10"/>
    <w:rsid w:val="009D054F"/>
    <w:rsid w:val="009D06AC"/>
    <w:rsid w:val="009D0AA2"/>
    <w:rsid w:val="009D3729"/>
    <w:rsid w:val="009D37CA"/>
    <w:rsid w:val="009D3A0E"/>
    <w:rsid w:val="009D3FAA"/>
    <w:rsid w:val="009D554D"/>
    <w:rsid w:val="009D697E"/>
    <w:rsid w:val="009D6AC1"/>
    <w:rsid w:val="009D6B4B"/>
    <w:rsid w:val="009D6D1A"/>
    <w:rsid w:val="009E0D13"/>
    <w:rsid w:val="009E27F2"/>
    <w:rsid w:val="009E2BAA"/>
    <w:rsid w:val="009E3300"/>
    <w:rsid w:val="009E3D79"/>
    <w:rsid w:val="009E408D"/>
    <w:rsid w:val="009E526B"/>
    <w:rsid w:val="009E534D"/>
    <w:rsid w:val="009E5C54"/>
    <w:rsid w:val="009E6A6D"/>
    <w:rsid w:val="009E72A2"/>
    <w:rsid w:val="009E7568"/>
    <w:rsid w:val="009E78BB"/>
    <w:rsid w:val="009E7AFE"/>
    <w:rsid w:val="009E7CF8"/>
    <w:rsid w:val="009F007B"/>
    <w:rsid w:val="009F0FAB"/>
    <w:rsid w:val="009F2213"/>
    <w:rsid w:val="009F3141"/>
    <w:rsid w:val="009F3849"/>
    <w:rsid w:val="009F396B"/>
    <w:rsid w:val="009F42E8"/>
    <w:rsid w:val="009F5C54"/>
    <w:rsid w:val="00A00007"/>
    <w:rsid w:val="00A0017C"/>
    <w:rsid w:val="00A006BC"/>
    <w:rsid w:val="00A00992"/>
    <w:rsid w:val="00A00D7B"/>
    <w:rsid w:val="00A02EAC"/>
    <w:rsid w:val="00A03843"/>
    <w:rsid w:val="00A0387A"/>
    <w:rsid w:val="00A05B30"/>
    <w:rsid w:val="00A06976"/>
    <w:rsid w:val="00A07471"/>
    <w:rsid w:val="00A10E7C"/>
    <w:rsid w:val="00A10ED6"/>
    <w:rsid w:val="00A11DF4"/>
    <w:rsid w:val="00A125B5"/>
    <w:rsid w:val="00A12875"/>
    <w:rsid w:val="00A12D09"/>
    <w:rsid w:val="00A136C0"/>
    <w:rsid w:val="00A13997"/>
    <w:rsid w:val="00A15861"/>
    <w:rsid w:val="00A15CC8"/>
    <w:rsid w:val="00A163F0"/>
    <w:rsid w:val="00A16821"/>
    <w:rsid w:val="00A16A38"/>
    <w:rsid w:val="00A16E1C"/>
    <w:rsid w:val="00A1765F"/>
    <w:rsid w:val="00A20D57"/>
    <w:rsid w:val="00A21C72"/>
    <w:rsid w:val="00A2388D"/>
    <w:rsid w:val="00A23AC9"/>
    <w:rsid w:val="00A24AE9"/>
    <w:rsid w:val="00A24ED5"/>
    <w:rsid w:val="00A2643C"/>
    <w:rsid w:val="00A26504"/>
    <w:rsid w:val="00A2659A"/>
    <w:rsid w:val="00A26E93"/>
    <w:rsid w:val="00A275B9"/>
    <w:rsid w:val="00A313BE"/>
    <w:rsid w:val="00A33ED6"/>
    <w:rsid w:val="00A34266"/>
    <w:rsid w:val="00A35EC7"/>
    <w:rsid w:val="00A37450"/>
    <w:rsid w:val="00A37C0E"/>
    <w:rsid w:val="00A37F26"/>
    <w:rsid w:val="00A40A3A"/>
    <w:rsid w:val="00A40B35"/>
    <w:rsid w:val="00A42956"/>
    <w:rsid w:val="00A42A45"/>
    <w:rsid w:val="00A4499F"/>
    <w:rsid w:val="00A44DB8"/>
    <w:rsid w:val="00A45323"/>
    <w:rsid w:val="00A45D35"/>
    <w:rsid w:val="00A474E8"/>
    <w:rsid w:val="00A50256"/>
    <w:rsid w:val="00A50FC7"/>
    <w:rsid w:val="00A52D60"/>
    <w:rsid w:val="00A52D92"/>
    <w:rsid w:val="00A54730"/>
    <w:rsid w:val="00A606FA"/>
    <w:rsid w:val="00A60B3E"/>
    <w:rsid w:val="00A62F2F"/>
    <w:rsid w:val="00A64284"/>
    <w:rsid w:val="00A643A0"/>
    <w:rsid w:val="00A65436"/>
    <w:rsid w:val="00A658CF"/>
    <w:rsid w:val="00A65D0E"/>
    <w:rsid w:val="00A7098C"/>
    <w:rsid w:val="00A7144D"/>
    <w:rsid w:val="00A71863"/>
    <w:rsid w:val="00A71A37"/>
    <w:rsid w:val="00A7240A"/>
    <w:rsid w:val="00A72FCD"/>
    <w:rsid w:val="00A73126"/>
    <w:rsid w:val="00A76291"/>
    <w:rsid w:val="00A76353"/>
    <w:rsid w:val="00A76C3F"/>
    <w:rsid w:val="00A76F47"/>
    <w:rsid w:val="00A77510"/>
    <w:rsid w:val="00A822B4"/>
    <w:rsid w:val="00A8279B"/>
    <w:rsid w:val="00A82F38"/>
    <w:rsid w:val="00A83189"/>
    <w:rsid w:val="00A83758"/>
    <w:rsid w:val="00A84412"/>
    <w:rsid w:val="00A85AA2"/>
    <w:rsid w:val="00A85C54"/>
    <w:rsid w:val="00A86E97"/>
    <w:rsid w:val="00A87548"/>
    <w:rsid w:val="00A878C3"/>
    <w:rsid w:val="00A87B86"/>
    <w:rsid w:val="00A87BB1"/>
    <w:rsid w:val="00A907F4"/>
    <w:rsid w:val="00A919E2"/>
    <w:rsid w:val="00A923E6"/>
    <w:rsid w:val="00A954FB"/>
    <w:rsid w:val="00A95DDD"/>
    <w:rsid w:val="00A9652D"/>
    <w:rsid w:val="00AA012C"/>
    <w:rsid w:val="00AA3900"/>
    <w:rsid w:val="00AA465F"/>
    <w:rsid w:val="00AA52D0"/>
    <w:rsid w:val="00AA595E"/>
    <w:rsid w:val="00AA7EFC"/>
    <w:rsid w:val="00AB03BB"/>
    <w:rsid w:val="00AB0B93"/>
    <w:rsid w:val="00AB24A8"/>
    <w:rsid w:val="00AB2541"/>
    <w:rsid w:val="00AB2863"/>
    <w:rsid w:val="00AB3489"/>
    <w:rsid w:val="00AB480B"/>
    <w:rsid w:val="00AC074C"/>
    <w:rsid w:val="00AC0E09"/>
    <w:rsid w:val="00AC0E25"/>
    <w:rsid w:val="00AC2B5A"/>
    <w:rsid w:val="00AC3165"/>
    <w:rsid w:val="00AC33D8"/>
    <w:rsid w:val="00AC3452"/>
    <w:rsid w:val="00AC5DD9"/>
    <w:rsid w:val="00AC6460"/>
    <w:rsid w:val="00AC79CC"/>
    <w:rsid w:val="00AD15DB"/>
    <w:rsid w:val="00AD1C2F"/>
    <w:rsid w:val="00AD3D87"/>
    <w:rsid w:val="00AD3D89"/>
    <w:rsid w:val="00AD3F2D"/>
    <w:rsid w:val="00AD57E1"/>
    <w:rsid w:val="00AD5954"/>
    <w:rsid w:val="00AD5C4F"/>
    <w:rsid w:val="00AD5E37"/>
    <w:rsid w:val="00AD6292"/>
    <w:rsid w:val="00AD682C"/>
    <w:rsid w:val="00AE109F"/>
    <w:rsid w:val="00AE1A6D"/>
    <w:rsid w:val="00AE1B5F"/>
    <w:rsid w:val="00AE280B"/>
    <w:rsid w:val="00AE3E5E"/>
    <w:rsid w:val="00AE5488"/>
    <w:rsid w:val="00AE5666"/>
    <w:rsid w:val="00AE73D3"/>
    <w:rsid w:val="00AE7BB0"/>
    <w:rsid w:val="00AF06F7"/>
    <w:rsid w:val="00AF1721"/>
    <w:rsid w:val="00AF3F2C"/>
    <w:rsid w:val="00AF4FB3"/>
    <w:rsid w:val="00AF5308"/>
    <w:rsid w:val="00AF660D"/>
    <w:rsid w:val="00AF6D34"/>
    <w:rsid w:val="00AF741A"/>
    <w:rsid w:val="00AF7464"/>
    <w:rsid w:val="00B000BB"/>
    <w:rsid w:val="00B0216E"/>
    <w:rsid w:val="00B03717"/>
    <w:rsid w:val="00B04B9A"/>
    <w:rsid w:val="00B063F6"/>
    <w:rsid w:val="00B065D6"/>
    <w:rsid w:val="00B06D0B"/>
    <w:rsid w:val="00B104CA"/>
    <w:rsid w:val="00B13EFA"/>
    <w:rsid w:val="00B14E7F"/>
    <w:rsid w:val="00B152A9"/>
    <w:rsid w:val="00B16ECA"/>
    <w:rsid w:val="00B17AD0"/>
    <w:rsid w:val="00B200C9"/>
    <w:rsid w:val="00B203B7"/>
    <w:rsid w:val="00B204C7"/>
    <w:rsid w:val="00B20739"/>
    <w:rsid w:val="00B208E3"/>
    <w:rsid w:val="00B21820"/>
    <w:rsid w:val="00B219BD"/>
    <w:rsid w:val="00B21A78"/>
    <w:rsid w:val="00B21F2B"/>
    <w:rsid w:val="00B2267A"/>
    <w:rsid w:val="00B2309C"/>
    <w:rsid w:val="00B23B41"/>
    <w:rsid w:val="00B23F7D"/>
    <w:rsid w:val="00B250D0"/>
    <w:rsid w:val="00B262D2"/>
    <w:rsid w:val="00B26FAD"/>
    <w:rsid w:val="00B31206"/>
    <w:rsid w:val="00B32942"/>
    <w:rsid w:val="00B41724"/>
    <w:rsid w:val="00B41F5C"/>
    <w:rsid w:val="00B44B44"/>
    <w:rsid w:val="00B456CF"/>
    <w:rsid w:val="00B50FDB"/>
    <w:rsid w:val="00B51F60"/>
    <w:rsid w:val="00B51F75"/>
    <w:rsid w:val="00B52254"/>
    <w:rsid w:val="00B522E4"/>
    <w:rsid w:val="00B52356"/>
    <w:rsid w:val="00B52755"/>
    <w:rsid w:val="00B5305E"/>
    <w:rsid w:val="00B54211"/>
    <w:rsid w:val="00B5450E"/>
    <w:rsid w:val="00B62ACA"/>
    <w:rsid w:val="00B62C5B"/>
    <w:rsid w:val="00B62DFE"/>
    <w:rsid w:val="00B63965"/>
    <w:rsid w:val="00B64BAB"/>
    <w:rsid w:val="00B64D89"/>
    <w:rsid w:val="00B64E1A"/>
    <w:rsid w:val="00B6594E"/>
    <w:rsid w:val="00B674AB"/>
    <w:rsid w:val="00B6783E"/>
    <w:rsid w:val="00B7045B"/>
    <w:rsid w:val="00B718EE"/>
    <w:rsid w:val="00B7194A"/>
    <w:rsid w:val="00B71A5C"/>
    <w:rsid w:val="00B71A85"/>
    <w:rsid w:val="00B7353E"/>
    <w:rsid w:val="00B8039F"/>
    <w:rsid w:val="00B806F4"/>
    <w:rsid w:val="00B81767"/>
    <w:rsid w:val="00B83C35"/>
    <w:rsid w:val="00B8431E"/>
    <w:rsid w:val="00B87C0F"/>
    <w:rsid w:val="00B908B9"/>
    <w:rsid w:val="00B91867"/>
    <w:rsid w:val="00B91F15"/>
    <w:rsid w:val="00B92586"/>
    <w:rsid w:val="00B93066"/>
    <w:rsid w:val="00B93B23"/>
    <w:rsid w:val="00B94D25"/>
    <w:rsid w:val="00B960B6"/>
    <w:rsid w:val="00B97D26"/>
    <w:rsid w:val="00BA01CD"/>
    <w:rsid w:val="00BA01E9"/>
    <w:rsid w:val="00BA18BF"/>
    <w:rsid w:val="00BA1F63"/>
    <w:rsid w:val="00BA271B"/>
    <w:rsid w:val="00BA4076"/>
    <w:rsid w:val="00BA6BA6"/>
    <w:rsid w:val="00BA6CAC"/>
    <w:rsid w:val="00BB1150"/>
    <w:rsid w:val="00BB1C09"/>
    <w:rsid w:val="00BB1EDC"/>
    <w:rsid w:val="00BB3106"/>
    <w:rsid w:val="00BB490C"/>
    <w:rsid w:val="00BB4CE0"/>
    <w:rsid w:val="00BB7ED3"/>
    <w:rsid w:val="00BC003C"/>
    <w:rsid w:val="00BC1774"/>
    <w:rsid w:val="00BC1ACA"/>
    <w:rsid w:val="00BC23A0"/>
    <w:rsid w:val="00BC264C"/>
    <w:rsid w:val="00BC48AD"/>
    <w:rsid w:val="00BC5E96"/>
    <w:rsid w:val="00BD0CA1"/>
    <w:rsid w:val="00BD1348"/>
    <w:rsid w:val="00BD1B7A"/>
    <w:rsid w:val="00BD3553"/>
    <w:rsid w:val="00BD35F6"/>
    <w:rsid w:val="00BD3791"/>
    <w:rsid w:val="00BD3A5A"/>
    <w:rsid w:val="00BD4B8E"/>
    <w:rsid w:val="00BD5CF1"/>
    <w:rsid w:val="00BD6A19"/>
    <w:rsid w:val="00BD6FBC"/>
    <w:rsid w:val="00BD7112"/>
    <w:rsid w:val="00BD76F4"/>
    <w:rsid w:val="00BD7F93"/>
    <w:rsid w:val="00BE39B8"/>
    <w:rsid w:val="00BE39EE"/>
    <w:rsid w:val="00BE3BA6"/>
    <w:rsid w:val="00BE4D7C"/>
    <w:rsid w:val="00BE78E9"/>
    <w:rsid w:val="00BF123A"/>
    <w:rsid w:val="00BF1E22"/>
    <w:rsid w:val="00BF58D8"/>
    <w:rsid w:val="00BF5DB1"/>
    <w:rsid w:val="00BF6771"/>
    <w:rsid w:val="00BF71B7"/>
    <w:rsid w:val="00BF7E43"/>
    <w:rsid w:val="00C00D20"/>
    <w:rsid w:val="00C020C5"/>
    <w:rsid w:val="00C04E34"/>
    <w:rsid w:val="00C06313"/>
    <w:rsid w:val="00C07CD7"/>
    <w:rsid w:val="00C102E3"/>
    <w:rsid w:val="00C114C9"/>
    <w:rsid w:val="00C13609"/>
    <w:rsid w:val="00C148E6"/>
    <w:rsid w:val="00C16893"/>
    <w:rsid w:val="00C168B4"/>
    <w:rsid w:val="00C17002"/>
    <w:rsid w:val="00C17632"/>
    <w:rsid w:val="00C21706"/>
    <w:rsid w:val="00C22863"/>
    <w:rsid w:val="00C22FA4"/>
    <w:rsid w:val="00C26905"/>
    <w:rsid w:val="00C307DE"/>
    <w:rsid w:val="00C30830"/>
    <w:rsid w:val="00C3205A"/>
    <w:rsid w:val="00C32066"/>
    <w:rsid w:val="00C33324"/>
    <w:rsid w:val="00C33B9E"/>
    <w:rsid w:val="00C3436A"/>
    <w:rsid w:val="00C34418"/>
    <w:rsid w:val="00C34942"/>
    <w:rsid w:val="00C34CCE"/>
    <w:rsid w:val="00C35FA1"/>
    <w:rsid w:val="00C36326"/>
    <w:rsid w:val="00C36B81"/>
    <w:rsid w:val="00C37668"/>
    <w:rsid w:val="00C37843"/>
    <w:rsid w:val="00C4056E"/>
    <w:rsid w:val="00C4275D"/>
    <w:rsid w:val="00C43DCE"/>
    <w:rsid w:val="00C448C4"/>
    <w:rsid w:val="00C44F8A"/>
    <w:rsid w:val="00C45EA5"/>
    <w:rsid w:val="00C46B81"/>
    <w:rsid w:val="00C471AD"/>
    <w:rsid w:val="00C47BFD"/>
    <w:rsid w:val="00C47D9F"/>
    <w:rsid w:val="00C47DDF"/>
    <w:rsid w:val="00C50C8D"/>
    <w:rsid w:val="00C51648"/>
    <w:rsid w:val="00C52A6A"/>
    <w:rsid w:val="00C52EF3"/>
    <w:rsid w:val="00C55FC0"/>
    <w:rsid w:val="00C566CC"/>
    <w:rsid w:val="00C57360"/>
    <w:rsid w:val="00C57491"/>
    <w:rsid w:val="00C62817"/>
    <w:rsid w:val="00C628D5"/>
    <w:rsid w:val="00C629A6"/>
    <w:rsid w:val="00C631D2"/>
    <w:rsid w:val="00C63F61"/>
    <w:rsid w:val="00C641CE"/>
    <w:rsid w:val="00C700C0"/>
    <w:rsid w:val="00C70595"/>
    <w:rsid w:val="00C71318"/>
    <w:rsid w:val="00C71C8A"/>
    <w:rsid w:val="00C738F3"/>
    <w:rsid w:val="00C73C5D"/>
    <w:rsid w:val="00C74040"/>
    <w:rsid w:val="00C7410C"/>
    <w:rsid w:val="00C75227"/>
    <w:rsid w:val="00C75FFE"/>
    <w:rsid w:val="00C778E9"/>
    <w:rsid w:val="00C77CEF"/>
    <w:rsid w:val="00C85F68"/>
    <w:rsid w:val="00C8628A"/>
    <w:rsid w:val="00C86385"/>
    <w:rsid w:val="00C86F60"/>
    <w:rsid w:val="00C870C4"/>
    <w:rsid w:val="00C87533"/>
    <w:rsid w:val="00C91552"/>
    <w:rsid w:val="00C95EED"/>
    <w:rsid w:val="00C95F6C"/>
    <w:rsid w:val="00C96B66"/>
    <w:rsid w:val="00C97FCD"/>
    <w:rsid w:val="00CA0B26"/>
    <w:rsid w:val="00CA2875"/>
    <w:rsid w:val="00CA2D62"/>
    <w:rsid w:val="00CA30FF"/>
    <w:rsid w:val="00CA318D"/>
    <w:rsid w:val="00CA34CD"/>
    <w:rsid w:val="00CA3EA8"/>
    <w:rsid w:val="00CA4A78"/>
    <w:rsid w:val="00CA4C57"/>
    <w:rsid w:val="00CA5354"/>
    <w:rsid w:val="00CA5BFD"/>
    <w:rsid w:val="00CA5D91"/>
    <w:rsid w:val="00CA652D"/>
    <w:rsid w:val="00CA6F2C"/>
    <w:rsid w:val="00CB1466"/>
    <w:rsid w:val="00CB16D8"/>
    <w:rsid w:val="00CB3B05"/>
    <w:rsid w:val="00CB3D69"/>
    <w:rsid w:val="00CB7886"/>
    <w:rsid w:val="00CC0CAE"/>
    <w:rsid w:val="00CC18DE"/>
    <w:rsid w:val="00CC206D"/>
    <w:rsid w:val="00CC2A3E"/>
    <w:rsid w:val="00CC41D4"/>
    <w:rsid w:val="00CC4C79"/>
    <w:rsid w:val="00CC7A60"/>
    <w:rsid w:val="00CD1353"/>
    <w:rsid w:val="00CD2BCC"/>
    <w:rsid w:val="00CD349F"/>
    <w:rsid w:val="00CD3CA5"/>
    <w:rsid w:val="00CD4103"/>
    <w:rsid w:val="00CD490B"/>
    <w:rsid w:val="00CD4A31"/>
    <w:rsid w:val="00CD6391"/>
    <w:rsid w:val="00CD6F22"/>
    <w:rsid w:val="00CD7019"/>
    <w:rsid w:val="00CD79CA"/>
    <w:rsid w:val="00CD7B3D"/>
    <w:rsid w:val="00CE0C1E"/>
    <w:rsid w:val="00CE0FB8"/>
    <w:rsid w:val="00CE13FE"/>
    <w:rsid w:val="00CE1B9D"/>
    <w:rsid w:val="00CE3046"/>
    <w:rsid w:val="00CE30B4"/>
    <w:rsid w:val="00CE432F"/>
    <w:rsid w:val="00CE4F36"/>
    <w:rsid w:val="00CE5495"/>
    <w:rsid w:val="00CE7CFF"/>
    <w:rsid w:val="00CF11BC"/>
    <w:rsid w:val="00CF164F"/>
    <w:rsid w:val="00CF1B02"/>
    <w:rsid w:val="00CF3049"/>
    <w:rsid w:val="00CF310A"/>
    <w:rsid w:val="00CF38D0"/>
    <w:rsid w:val="00CF432C"/>
    <w:rsid w:val="00CF5C87"/>
    <w:rsid w:val="00CF5ECE"/>
    <w:rsid w:val="00D00071"/>
    <w:rsid w:val="00D007C9"/>
    <w:rsid w:val="00D009A2"/>
    <w:rsid w:val="00D00C54"/>
    <w:rsid w:val="00D01EB6"/>
    <w:rsid w:val="00D021EB"/>
    <w:rsid w:val="00D04D83"/>
    <w:rsid w:val="00D04DE5"/>
    <w:rsid w:val="00D05B9F"/>
    <w:rsid w:val="00D07D25"/>
    <w:rsid w:val="00D11503"/>
    <w:rsid w:val="00D123ED"/>
    <w:rsid w:val="00D141F7"/>
    <w:rsid w:val="00D145F2"/>
    <w:rsid w:val="00D15BC3"/>
    <w:rsid w:val="00D175E8"/>
    <w:rsid w:val="00D20250"/>
    <w:rsid w:val="00D207CC"/>
    <w:rsid w:val="00D20BE7"/>
    <w:rsid w:val="00D22479"/>
    <w:rsid w:val="00D23A09"/>
    <w:rsid w:val="00D243D7"/>
    <w:rsid w:val="00D259C8"/>
    <w:rsid w:val="00D2640F"/>
    <w:rsid w:val="00D274C1"/>
    <w:rsid w:val="00D279CB"/>
    <w:rsid w:val="00D3035B"/>
    <w:rsid w:val="00D309A8"/>
    <w:rsid w:val="00D30EA5"/>
    <w:rsid w:val="00D31C1D"/>
    <w:rsid w:val="00D31F2B"/>
    <w:rsid w:val="00D323D2"/>
    <w:rsid w:val="00D33E78"/>
    <w:rsid w:val="00D3427A"/>
    <w:rsid w:val="00D379F4"/>
    <w:rsid w:val="00D406B1"/>
    <w:rsid w:val="00D41648"/>
    <w:rsid w:val="00D42924"/>
    <w:rsid w:val="00D43582"/>
    <w:rsid w:val="00D439CA"/>
    <w:rsid w:val="00D44CA7"/>
    <w:rsid w:val="00D46004"/>
    <w:rsid w:val="00D4796E"/>
    <w:rsid w:val="00D5148E"/>
    <w:rsid w:val="00D52E80"/>
    <w:rsid w:val="00D5335D"/>
    <w:rsid w:val="00D538A4"/>
    <w:rsid w:val="00D543E2"/>
    <w:rsid w:val="00D5488B"/>
    <w:rsid w:val="00D5652C"/>
    <w:rsid w:val="00D56DAC"/>
    <w:rsid w:val="00D57836"/>
    <w:rsid w:val="00D61608"/>
    <w:rsid w:val="00D626C3"/>
    <w:rsid w:val="00D629D7"/>
    <w:rsid w:val="00D63533"/>
    <w:rsid w:val="00D635D5"/>
    <w:rsid w:val="00D63CFE"/>
    <w:rsid w:val="00D63D93"/>
    <w:rsid w:val="00D64210"/>
    <w:rsid w:val="00D65FEF"/>
    <w:rsid w:val="00D665D0"/>
    <w:rsid w:val="00D67D56"/>
    <w:rsid w:val="00D709E8"/>
    <w:rsid w:val="00D70C17"/>
    <w:rsid w:val="00D715B6"/>
    <w:rsid w:val="00D73ACC"/>
    <w:rsid w:val="00D73BE3"/>
    <w:rsid w:val="00D74211"/>
    <w:rsid w:val="00D743F7"/>
    <w:rsid w:val="00D74FD3"/>
    <w:rsid w:val="00D7730F"/>
    <w:rsid w:val="00D775DE"/>
    <w:rsid w:val="00D77A3C"/>
    <w:rsid w:val="00D77CE5"/>
    <w:rsid w:val="00D82A99"/>
    <w:rsid w:val="00D82B28"/>
    <w:rsid w:val="00D842E5"/>
    <w:rsid w:val="00D84573"/>
    <w:rsid w:val="00D86552"/>
    <w:rsid w:val="00D87644"/>
    <w:rsid w:val="00D87B6D"/>
    <w:rsid w:val="00D90997"/>
    <w:rsid w:val="00D913CE"/>
    <w:rsid w:val="00D918F3"/>
    <w:rsid w:val="00D91F8C"/>
    <w:rsid w:val="00D92894"/>
    <w:rsid w:val="00D9290D"/>
    <w:rsid w:val="00D9294B"/>
    <w:rsid w:val="00D946F7"/>
    <w:rsid w:val="00D94BBA"/>
    <w:rsid w:val="00D95B8F"/>
    <w:rsid w:val="00D9602C"/>
    <w:rsid w:val="00D9604B"/>
    <w:rsid w:val="00D963D5"/>
    <w:rsid w:val="00D96EDE"/>
    <w:rsid w:val="00D97611"/>
    <w:rsid w:val="00D97966"/>
    <w:rsid w:val="00DA039E"/>
    <w:rsid w:val="00DA0BEF"/>
    <w:rsid w:val="00DA0F5A"/>
    <w:rsid w:val="00DA0FFB"/>
    <w:rsid w:val="00DA103D"/>
    <w:rsid w:val="00DA1246"/>
    <w:rsid w:val="00DA191B"/>
    <w:rsid w:val="00DA1FA3"/>
    <w:rsid w:val="00DA2CF5"/>
    <w:rsid w:val="00DA3AB0"/>
    <w:rsid w:val="00DA4038"/>
    <w:rsid w:val="00DA43F0"/>
    <w:rsid w:val="00DB033A"/>
    <w:rsid w:val="00DB10C8"/>
    <w:rsid w:val="00DB4A71"/>
    <w:rsid w:val="00DB4EBB"/>
    <w:rsid w:val="00DB5041"/>
    <w:rsid w:val="00DB5BE0"/>
    <w:rsid w:val="00DB6463"/>
    <w:rsid w:val="00DB7425"/>
    <w:rsid w:val="00DB7715"/>
    <w:rsid w:val="00DC0C5C"/>
    <w:rsid w:val="00DC113E"/>
    <w:rsid w:val="00DC2E53"/>
    <w:rsid w:val="00DC3292"/>
    <w:rsid w:val="00DC32CB"/>
    <w:rsid w:val="00DC3B9F"/>
    <w:rsid w:val="00DC412B"/>
    <w:rsid w:val="00DC50EE"/>
    <w:rsid w:val="00DC59F1"/>
    <w:rsid w:val="00DC6E02"/>
    <w:rsid w:val="00DC71E7"/>
    <w:rsid w:val="00DD040C"/>
    <w:rsid w:val="00DD05C2"/>
    <w:rsid w:val="00DD0F99"/>
    <w:rsid w:val="00DD3A9D"/>
    <w:rsid w:val="00DD4F40"/>
    <w:rsid w:val="00DE04E2"/>
    <w:rsid w:val="00DE0D04"/>
    <w:rsid w:val="00DE1FFA"/>
    <w:rsid w:val="00DE2DF8"/>
    <w:rsid w:val="00DE4419"/>
    <w:rsid w:val="00DE4DC3"/>
    <w:rsid w:val="00DE4E3F"/>
    <w:rsid w:val="00DE529A"/>
    <w:rsid w:val="00DE560A"/>
    <w:rsid w:val="00DE6647"/>
    <w:rsid w:val="00DE7FCC"/>
    <w:rsid w:val="00DF14D6"/>
    <w:rsid w:val="00DF1A91"/>
    <w:rsid w:val="00DF20D4"/>
    <w:rsid w:val="00DF2381"/>
    <w:rsid w:val="00DF2624"/>
    <w:rsid w:val="00DF3598"/>
    <w:rsid w:val="00DF461F"/>
    <w:rsid w:val="00DF4715"/>
    <w:rsid w:val="00DF7AA7"/>
    <w:rsid w:val="00E00A4A"/>
    <w:rsid w:val="00E00D5A"/>
    <w:rsid w:val="00E00D8F"/>
    <w:rsid w:val="00E01D8F"/>
    <w:rsid w:val="00E01E7B"/>
    <w:rsid w:val="00E02833"/>
    <w:rsid w:val="00E02DD1"/>
    <w:rsid w:val="00E0334D"/>
    <w:rsid w:val="00E03DBC"/>
    <w:rsid w:val="00E045B4"/>
    <w:rsid w:val="00E047B9"/>
    <w:rsid w:val="00E072B4"/>
    <w:rsid w:val="00E10A84"/>
    <w:rsid w:val="00E13159"/>
    <w:rsid w:val="00E13C2E"/>
    <w:rsid w:val="00E14B1A"/>
    <w:rsid w:val="00E16A10"/>
    <w:rsid w:val="00E21052"/>
    <w:rsid w:val="00E21278"/>
    <w:rsid w:val="00E2161B"/>
    <w:rsid w:val="00E237C7"/>
    <w:rsid w:val="00E239A6"/>
    <w:rsid w:val="00E263AC"/>
    <w:rsid w:val="00E26B1A"/>
    <w:rsid w:val="00E30D38"/>
    <w:rsid w:val="00E31C97"/>
    <w:rsid w:val="00E31DC2"/>
    <w:rsid w:val="00E3483F"/>
    <w:rsid w:val="00E350A6"/>
    <w:rsid w:val="00E364A2"/>
    <w:rsid w:val="00E3769C"/>
    <w:rsid w:val="00E40694"/>
    <w:rsid w:val="00E4146E"/>
    <w:rsid w:val="00E41C27"/>
    <w:rsid w:val="00E41E4F"/>
    <w:rsid w:val="00E446AB"/>
    <w:rsid w:val="00E46800"/>
    <w:rsid w:val="00E46DB9"/>
    <w:rsid w:val="00E47816"/>
    <w:rsid w:val="00E47E5F"/>
    <w:rsid w:val="00E50263"/>
    <w:rsid w:val="00E5029D"/>
    <w:rsid w:val="00E52D23"/>
    <w:rsid w:val="00E53F97"/>
    <w:rsid w:val="00E546D4"/>
    <w:rsid w:val="00E55EF1"/>
    <w:rsid w:val="00E561F3"/>
    <w:rsid w:val="00E5644F"/>
    <w:rsid w:val="00E56BA6"/>
    <w:rsid w:val="00E56EBE"/>
    <w:rsid w:val="00E57E63"/>
    <w:rsid w:val="00E6108A"/>
    <w:rsid w:val="00E61831"/>
    <w:rsid w:val="00E628FD"/>
    <w:rsid w:val="00E6422A"/>
    <w:rsid w:val="00E66258"/>
    <w:rsid w:val="00E669A0"/>
    <w:rsid w:val="00E675DF"/>
    <w:rsid w:val="00E70204"/>
    <w:rsid w:val="00E72A60"/>
    <w:rsid w:val="00E74F50"/>
    <w:rsid w:val="00E7535F"/>
    <w:rsid w:val="00E7621F"/>
    <w:rsid w:val="00E76415"/>
    <w:rsid w:val="00E770F4"/>
    <w:rsid w:val="00E778BA"/>
    <w:rsid w:val="00E77C96"/>
    <w:rsid w:val="00E80A0F"/>
    <w:rsid w:val="00E80F3D"/>
    <w:rsid w:val="00E822C5"/>
    <w:rsid w:val="00E825FD"/>
    <w:rsid w:val="00E82ADD"/>
    <w:rsid w:val="00E83B88"/>
    <w:rsid w:val="00E83E5B"/>
    <w:rsid w:val="00E84E1F"/>
    <w:rsid w:val="00E853DF"/>
    <w:rsid w:val="00E85C57"/>
    <w:rsid w:val="00E85FE5"/>
    <w:rsid w:val="00E87EF5"/>
    <w:rsid w:val="00E91603"/>
    <w:rsid w:val="00E92C18"/>
    <w:rsid w:val="00E94517"/>
    <w:rsid w:val="00E94922"/>
    <w:rsid w:val="00E971F5"/>
    <w:rsid w:val="00EA1961"/>
    <w:rsid w:val="00EA246C"/>
    <w:rsid w:val="00EA2FD2"/>
    <w:rsid w:val="00EA5728"/>
    <w:rsid w:val="00EA58BB"/>
    <w:rsid w:val="00EA5919"/>
    <w:rsid w:val="00EA5F0F"/>
    <w:rsid w:val="00EB0DFD"/>
    <w:rsid w:val="00EB357A"/>
    <w:rsid w:val="00EB54F9"/>
    <w:rsid w:val="00EB59CD"/>
    <w:rsid w:val="00EB5FE0"/>
    <w:rsid w:val="00EB6E90"/>
    <w:rsid w:val="00EB7FCC"/>
    <w:rsid w:val="00EC0036"/>
    <w:rsid w:val="00EC19B5"/>
    <w:rsid w:val="00EC1A4E"/>
    <w:rsid w:val="00EC1E2D"/>
    <w:rsid w:val="00EC21E5"/>
    <w:rsid w:val="00EC2B75"/>
    <w:rsid w:val="00EC3B79"/>
    <w:rsid w:val="00EC4073"/>
    <w:rsid w:val="00EC7863"/>
    <w:rsid w:val="00EC7D31"/>
    <w:rsid w:val="00ED01E9"/>
    <w:rsid w:val="00ED303B"/>
    <w:rsid w:val="00ED34A4"/>
    <w:rsid w:val="00ED4423"/>
    <w:rsid w:val="00ED48E2"/>
    <w:rsid w:val="00ED4A33"/>
    <w:rsid w:val="00ED4DD6"/>
    <w:rsid w:val="00ED5322"/>
    <w:rsid w:val="00ED588D"/>
    <w:rsid w:val="00ED7FF1"/>
    <w:rsid w:val="00EE2020"/>
    <w:rsid w:val="00EE2668"/>
    <w:rsid w:val="00EE32D2"/>
    <w:rsid w:val="00EE38EC"/>
    <w:rsid w:val="00EE4838"/>
    <w:rsid w:val="00EE5344"/>
    <w:rsid w:val="00EE7B36"/>
    <w:rsid w:val="00EF03DA"/>
    <w:rsid w:val="00EF075B"/>
    <w:rsid w:val="00EF3571"/>
    <w:rsid w:val="00EF4DBE"/>
    <w:rsid w:val="00EF50DA"/>
    <w:rsid w:val="00EF58BB"/>
    <w:rsid w:val="00EF703A"/>
    <w:rsid w:val="00EF7423"/>
    <w:rsid w:val="00F008F2"/>
    <w:rsid w:val="00F0283F"/>
    <w:rsid w:val="00F0549A"/>
    <w:rsid w:val="00F05705"/>
    <w:rsid w:val="00F061B4"/>
    <w:rsid w:val="00F06385"/>
    <w:rsid w:val="00F067C2"/>
    <w:rsid w:val="00F108C5"/>
    <w:rsid w:val="00F10AB5"/>
    <w:rsid w:val="00F1587E"/>
    <w:rsid w:val="00F17731"/>
    <w:rsid w:val="00F23333"/>
    <w:rsid w:val="00F235DE"/>
    <w:rsid w:val="00F23607"/>
    <w:rsid w:val="00F23B3B"/>
    <w:rsid w:val="00F24A58"/>
    <w:rsid w:val="00F25CCA"/>
    <w:rsid w:val="00F2625C"/>
    <w:rsid w:val="00F272E9"/>
    <w:rsid w:val="00F326C8"/>
    <w:rsid w:val="00F36D8C"/>
    <w:rsid w:val="00F4236F"/>
    <w:rsid w:val="00F43A4C"/>
    <w:rsid w:val="00F44CCD"/>
    <w:rsid w:val="00F47234"/>
    <w:rsid w:val="00F512DA"/>
    <w:rsid w:val="00F544E9"/>
    <w:rsid w:val="00F56B77"/>
    <w:rsid w:val="00F56C2C"/>
    <w:rsid w:val="00F6188F"/>
    <w:rsid w:val="00F63302"/>
    <w:rsid w:val="00F64EA4"/>
    <w:rsid w:val="00F66E2C"/>
    <w:rsid w:val="00F673BA"/>
    <w:rsid w:val="00F70086"/>
    <w:rsid w:val="00F71695"/>
    <w:rsid w:val="00F725FF"/>
    <w:rsid w:val="00F737E7"/>
    <w:rsid w:val="00F7562C"/>
    <w:rsid w:val="00F7693E"/>
    <w:rsid w:val="00F76B71"/>
    <w:rsid w:val="00F77848"/>
    <w:rsid w:val="00F77C60"/>
    <w:rsid w:val="00F806F5"/>
    <w:rsid w:val="00F826E8"/>
    <w:rsid w:val="00F830A1"/>
    <w:rsid w:val="00F8346B"/>
    <w:rsid w:val="00F85996"/>
    <w:rsid w:val="00F872C3"/>
    <w:rsid w:val="00F8764A"/>
    <w:rsid w:val="00F87876"/>
    <w:rsid w:val="00F87EB9"/>
    <w:rsid w:val="00F91E83"/>
    <w:rsid w:val="00F930A1"/>
    <w:rsid w:val="00F948EC"/>
    <w:rsid w:val="00F96804"/>
    <w:rsid w:val="00F96DC3"/>
    <w:rsid w:val="00F96F2B"/>
    <w:rsid w:val="00F97D88"/>
    <w:rsid w:val="00FA00FE"/>
    <w:rsid w:val="00FA104A"/>
    <w:rsid w:val="00FA1AF1"/>
    <w:rsid w:val="00FA378A"/>
    <w:rsid w:val="00FA38C7"/>
    <w:rsid w:val="00FA3BDF"/>
    <w:rsid w:val="00FA410C"/>
    <w:rsid w:val="00FA563E"/>
    <w:rsid w:val="00FA6559"/>
    <w:rsid w:val="00FA6DB7"/>
    <w:rsid w:val="00FA7F73"/>
    <w:rsid w:val="00FB28E6"/>
    <w:rsid w:val="00FB2933"/>
    <w:rsid w:val="00FB4203"/>
    <w:rsid w:val="00FB4D9B"/>
    <w:rsid w:val="00FB7205"/>
    <w:rsid w:val="00FC110C"/>
    <w:rsid w:val="00FC22F7"/>
    <w:rsid w:val="00FC25D8"/>
    <w:rsid w:val="00FC2874"/>
    <w:rsid w:val="00FC2E5D"/>
    <w:rsid w:val="00FC3EA5"/>
    <w:rsid w:val="00FC4D51"/>
    <w:rsid w:val="00FC54BE"/>
    <w:rsid w:val="00FC59B7"/>
    <w:rsid w:val="00FC68F0"/>
    <w:rsid w:val="00FC6B81"/>
    <w:rsid w:val="00FC7163"/>
    <w:rsid w:val="00FC7928"/>
    <w:rsid w:val="00FC7A1A"/>
    <w:rsid w:val="00FD06A3"/>
    <w:rsid w:val="00FD1786"/>
    <w:rsid w:val="00FD63B6"/>
    <w:rsid w:val="00FD749D"/>
    <w:rsid w:val="00FD7840"/>
    <w:rsid w:val="00FD7AD2"/>
    <w:rsid w:val="00FD7D27"/>
    <w:rsid w:val="00FE0369"/>
    <w:rsid w:val="00FE03FA"/>
    <w:rsid w:val="00FE0E2D"/>
    <w:rsid w:val="00FE15C0"/>
    <w:rsid w:val="00FE3C82"/>
    <w:rsid w:val="00FE6510"/>
    <w:rsid w:val="00FE666A"/>
    <w:rsid w:val="00FF031D"/>
    <w:rsid w:val="00FF05D9"/>
    <w:rsid w:val="00FF0D85"/>
    <w:rsid w:val="00FF1DAA"/>
    <w:rsid w:val="00FF2763"/>
    <w:rsid w:val="00FF2832"/>
    <w:rsid w:val="00FF4E9C"/>
    <w:rsid w:val="00FF55F4"/>
    <w:rsid w:val="00FF7B6A"/>
    <w:rsid w:val="057C16DE"/>
    <w:rsid w:val="07490530"/>
    <w:rsid w:val="077E37DC"/>
    <w:rsid w:val="09173EE8"/>
    <w:rsid w:val="09185624"/>
    <w:rsid w:val="092959CA"/>
    <w:rsid w:val="09B56D5B"/>
    <w:rsid w:val="09EC584E"/>
    <w:rsid w:val="0A621193"/>
    <w:rsid w:val="10C8584D"/>
    <w:rsid w:val="110B2172"/>
    <w:rsid w:val="165E1841"/>
    <w:rsid w:val="18245CDA"/>
    <w:rsid w:val="18E1586D"/>
    <w:rsid w:val="19662322"/>
    <w:rsid w:val="1A9D48F4"/>
    <w:rsid w:val="1C931CF1"/>
    <w:rsid w:val="1D557168"/>
    <w:rsid w:val="1DCA2E80"/>
    <w:rsid w:val="1ED85A70"/>
    <w:rsid w:val="1EF04B68"/>
    <w:rsid w:val="1F4153C3"/>
    <w:rsid w:val="1F817EB6"/>
    <w:rsid w:val="25D07027"/>
    <w:rsid w:val="27182EAE"/>
    <w:rsid w:val="28EC1051"/>
    <w:rsid w:val="29494B12"/>
    <w:rsid w:val="2AED19A1"/>
    <w:rsid w:val="2BC866EC"/>
    <w:rsid w:val="300F6E18"/>
    <w:rsid w:val="301B57BD"/>
    <w:rsid w:val="302937FD"/>
    <w:rsid w:val="307C6970"/>
    <w:rsid w:val="30963095"/>
    <w:rsid w:val="31541CF4"/>
    <w:rsid w:val="344F264A"/>
    <w:rsid w:val="347D6CED"/>
    <w:rsid w:val="37F94635"/>
    <w:rsid w:val="3A1619AF"/>
    <w:rsid w:val="3A410516"/>
    <w:rsid w:val="3AF85078"/>
    <w:rsid w:val="3E344619"/>
    <w:rsid w:val="40BF3346"/>
    <w:rsid w:val="42590023"/>
    <w:rsid w:val="427C4E2B"/>
    <w:rsid w:val="46093784"/>
    <w:rsid w:val="46B34549"/>
    <w:rsid w:val="4B162612"/>
    <w:rsid w:val="4C6D6F48"/>
    <w:rsid w:val="4D422183"/>
    <w:rsid w:val="4E067A09"/>
    <w:rsid w:val="4F5B752C"/>
    <w:rsid w:val="4FD730B2"/>
    <w:rsid w:val="51F96F33"/>
    <w:rsid w:val="52D25D57"/>
    <w:rsid w:val="5349203A"/>
    <w:rsid w:val="53BA0CC5"/>
    <w:rsid w:val="54F7542F"/>
    <w:rsid w:val="58D04AE7"/>
    <w:rsid w:val="59AB4E3B"/>
    <w:rsid w:val="5AC14824"/>
    <w:rsid w:val="5D4E06D0"/>
    <w:rsid w:val="5EE17CEE"/>
    <w:rsid w:val="5F24793A"/>
    <w:rsid w:val="61E57855"/>
    <w:rsid w:val="63BF1E93"/>
    <w:rsid w:val="63F90AB2"/>
    <w:rsid w:val="64260FBB"/>
    <w:rsid w:val="645E38EF"/>
    <w:rsid w:val="6A3E159E"/>
    <w:rsid w:val="6ADA17F5"/>
    <w:rsid w:val="6AEF11B4"/>
    <w:rsid w:val="6B515DC3"/>
    <w:rsid w:val="6CDF0172"/>
    <w:rsid w:val="6ECE01AD"/>
    <w:rsid w:val="6ED8604B"/>
    <w:rsid w:val="72023B0B"/>
    <w:rsid w:val="72AB5F51"/>
    <w:rsid w:val="72D3551B"/>
    <w:rsid w:val="739F35DC"/>
    <w:rsid w:val="74585FCC"/>
    <w:rsid w:val="7A3A5E0C"/>
    <w:rsid w:val="7AC878BC"/>
    <w:rsid w:val="7C0D37D8"/>
    <w:rsid w:val="7C930D46"/>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numPr>
        <w:ilvl w:val="0"/>
        <w:numId w:val="1"/>
      </w:numPr>
      <w:spacing w:before="340" w:after="330" w:line="578" w:lineRule="auto"/>
      <w:outlineLvl w:val="0"/>
    </w:pPr>
    <w:rPr>
      <w:b/>
      <w:bCs/>
      <w:kern w:val="44"/>
      <w:sz w:val="32"/>
      <w:szCs w:val="4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qFormat/>
    <w:uiPriority w:val="0"/>
  </w:style>
  <w:style w:type="paragraph" w:styleId="4">
    <w:name w:val="Body Text"/>
    <w:basedOn w:val="1"/>
    <w:qFormat/>
    <w:uiPriority w:val="0"/>
    <w:pPr>
      <w:tabs>
        <w:tab w:val="left" w:pos="2700"/>
      </w:tabs>
      <w:spacing w:line="400" w:lineRule="exact"/>
    </w:pPr>
    <w:rPr>
      <w:sz w:val="24"/>
    </w:rPr>
  </w:style>
  <w:style w:type="paragraph" w:styleId="5">
    <w:name w:val="Body Text Indent"/>
    <w:basedOn w:val="1"/>
    <w:next w:val="6"/>
    <w:qFormat/>
    <w:uiPriority w:val="0"/>
    <w:pPr>
      <w:spacing w:after="120"/>
      <w:ind w:left="420" w:leftChars="200"/>
    </w:pPr>
  </w:style>
  <w:style w:type="paragraph" w:styleId="6">
    <w:name w:val="footer"/>
    <w:basedOn w:val="1"/>
    <w:link w:val="51"/>
    <w:qFormat/>
    <w:uiPriority w:val="99"/>
    <w:pPr>
      <w:tabs>
        <w:tab w:val="center" w:pos="4153"/>
        <w:tab w:val="right" w:pos="8306"/>
      </w:tabs>
      <w:snapToGrid w:val="0"/>
    </w:pPr>
    <w:rPr>
      <w:sz w:val="18"/>
      <w:szCs w:val="18"/>
    </w:rPr>
  </w:style>
  <w:style w:type="paragraph" w:styleId="7">
    <w:name w:val="toc 3"/>
    <w:basedOn w:val="1"/>
    <w:next w:val="1"/>
    <w:autoRedefine/>
    <w:unhideWhenUsed/>
    <w:qFormat/>
    <w:uiPriority w:val="39"/>
    <w:pPr>
      <w:spacing w:after="100" w:line="276" w:lineRule="auto"/>
      <w:ind w:left="440"/>
    </w:pPr>
    <w:rPr>
      <w:kern w:val="0"/>
      <w:sz w:val="22"/>
    </w:rPr>
  </w:style>
  <w:style w:type="paragraph" w:styleId="8">
    <w:name w:val="Date"/>
    <w:basedOn w:val="1"/>
    <w:next w:val="1"/>
    <w:qFormat/>
    <w:uiPriority w:val="0"/>
    <w:pPr>
      <w:ind w:left="100" w:leftChars="2500"/>
    </w:pPr>
  </w:style>
  <w:style w:type="paragraph" w:styleId="9">
    <w:name w:val="Balloon Text"/>
    <w:basedOn w:val="1"/>
    <w:semiHidden/>
    <w:qFormat/>
    <w:uiPriority w:val="0"/>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39"/>
    <w:pPr>
      <w:tabs>
        <w:tab w:val="left" w:pos="840"/>
        <w:tab w:val="right" w:leader="dot" w:pos="9531"/>
      </w:tabs>
      <w:spacing w:after="100" w:line="276" w:lineRule="auto"/>
    </w:pPr>
    <w:rPr>
      <w:kern w:val="0"/>
      <w:sz w:val="22"/>
    </w:rPr>
  </w:style>
  <w:style w:type="paragraph" w:styleId="12">
    <w:name w:val="toc 2"/>
    <w:basedOn w:val="1"/>
    <w:next w:val="1"/>
    <w:autoRedefine/>
    <w:unhideWhenUsed/>
    <w:qFormat/>
    <w:uiPriority w:val="39"/>
    <w:pPr>
      <w:spacing w:after="100" w:line="276" w:lineRule="auto"/>
      <w:ind w:left="220"/>
    </w:pPr>
    <w:rPr>
      <w:kern w:val="0"/>
      <w:sz w:val="22"/>
    </w:rPr>
  </w:style>
  <w:style w:type="paragraph" w:styleId="13">
    <w:name w:val="Normal (Web)"/>
    <w:basedOn w:val="1"/>
    <w:qFormat/>
    <w:uiPriority w:val="99"/>
    <w:pPr>
      <w:spacing w:before="100" w:beforeAutospacing="1" w:after="100" w:afterAutospacing="1"/>
    </w:pPr>
    <w:rPr>
      <w:rFonts w:ascii="宋体" w:hAnsi="宋体" w:cs="宋体"/>
      <w:kern w:val="0"/>
      <w:sz w:val="24"/>
    </w:rPr>
  </w:style>
  <w:style w:type="paragraph" w:styleId="14">
    <w:name w:val="Title"/>
    <w:basedOn w:val="1"/>
    <w:next w:val="1"/>
    <w:link w:val="47"/>
    <w:qFormat/>
    <w:uiPriority w:val="10"/>
    <w:pPr>
      <w:numPr>
        <w:ilvl w:val="0"/>
        <w:numId w:val="2"/>
      </w:numPr>
      <w:ind w:left="0" w:firstLine="0"/>
      <w:contextualSpacing/>
      <w:outlineLvl w:val="1"/>
    </w:pPr>
    <w:rPr>
      <w:rFonts w:ascii="Cambria" w:hAnsi="Cambria" w:eastAsia="仿宋"/>
      <w:bCs/>
      <w:sz w:val="28"/>
      <w:szCs w:val="32"/>
    </w:rPr>
  </w:style>
  <w:style w:type="paragraph" w:styleId="15">
    <w:name w:val="Body Text First Indent 2"/>
    <w:basedOn w:val="5"/>
    <w:qFormat/>
    <w:uiPriority w:val="99"/>
    <w:pPr>
      <w:spacing w:after="120" w:line="360" w:lineRule="auto"/>
      <w:ind w:left="420" w:leftChars="200" w:firstLine="420"/>
    </w:pPr>
    <w:rPr>
      <w:rFonts w:ascii="Times New Roman"/>
      <w:sz w:val="28"/>
      <w:szCs w:val="20"/>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page number"/>
    <w:basedOn w:val="18"/>
    <w:qFormat/>
    <w:uiPriority w:val="0"/>
  </w:style>
  <w:style w:type="character" w:styleId="21">
    <w:name w:val="FollowedHyperlink"/>
    <w:unhideWhenUsed/>
    <w:qFormat/>
    <w:uiPriority w:val="99"/>
    <w:rPr>
      <w:color w:val="800080"/>
      <w:u w:val="single"/>
    </w:rPr>
  </w:style>
  <w:style w:type="character" w:styleId="22">
    <w:name w:val="Hyperlink"/>
    <w:unhideWhenUsed/>
    <w:qFormat/>
    <w:uiPriority w:val="99"/>
    <w:rPr>
      <w:color w:val="0000FF"/>
      <w:u w:val="single"/>
    </w:rPr>
  </w:style>
  <w:style w:type="character" w:styleId="23">
    <w:name w:val="annotation reference"/>
    <w:semiHidden/>
    <w:qFormat/>
    <w:uiPriority w:val="0"/>
    <w:rPr>
      <w:sz w:val="21"/>
      <w:szCs w:val="21"/>
    </w:rPr>
  </w:style>
  <w:style w:type="paragraph" w:customStyle="1" w:styleId="24">
    <w:name w:val="Char"/>
    <w:basedOn w:val="1"/>
    <w:qFormat/>
    <w:uiPriority w:val="0"/>
    <w:pPr>
      <w:spacing w:before="100" w:beforeLines="100"/>
    </w:pPr>
  </w:style>
  <w:style w:type="paragraph" w:customStyle="1" w:styleId="25">
    <w:name w:val="Char1"/>
    <w:basedOn w:val="1"/>
    <w:qFormat/>
    <w:uiPriority w:val="0"/>
    <w:pPr>
      <w:spacing w:beforeLines="100"/>
    </w:pPr>
  </w:style>
  <w:style w:type="paragraph" w:customStyle="1" w:styleId="26">
    <w:name w:val="xl71"/>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szCs w:val="20"/>
    </w:rPr>
  </w:style>
  <w:style w:type="paragraph" w:customStyle="1" w:styleId="27">
    <w:name w:val="xl72"/>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28">
    <w:name w:val="xl73"/>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29">
    <w:name w:val="xl74"/>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30">
    <w:name w:val="xl75"/>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31">
    <w:name w:val="xl76"/>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szCs w:val="20"/>
    </w:rPr>
  </w:style>
  <w:style w:type="paragraph" w:customStyle="1" w:styleId="32">
    <w:name w:val="xl77"/>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szCs w:val="20"/>
    </w:rPr>
  </w:style>
  <w:style w:type="paragraph" w:customStyle="1" w:styleId="33">
    <w:name w:val="xl78"/>
    <w:basedOn w:val="1"/>
    <w:qFormat/>
    <w:uiPriority w:val="0"/>
    <w:pPr>
      <w:pBdr>
        <w:top w:val="single" w:color="auto" w:sz="4" w:space="0"/>
        <w:left w:val="single" w:color="auto" w:sz="4" w:space="0"/>
        <w:bottom w:val="single" w:color="auto" w:sz="4" w:space="0"/>
      </w:pBdr>
      <w:shd w:val="clear" w:color="000000" w:fill="FFFFFF"/>
      <w:spacing w:before="100" w:beforeAutospacing="1" w:after="100" w:afterAutospacing="1"/>
    </w:pPr>
    <w:rPr>
      <w:rFonts w:ascii="宋体" w:hAnsi="宋体" w:cs="宋体"/>
      <w:kern w:val="0"/>
      <w:sz w:val="20"/>
      <w:szCs w:val="20"/>
    </w:rPr>
  </w:style>
  <w:style w:type="paragraph" w:customStyle="1" w:styleId="34">
    <w:name w:val="xl79"/>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szCs w:val="20"/>
    </w:rPr>
  </w:style>
  <w:style w:type="paragraph" w:customStyle="1" w:styleId="35">
    <w:name w:val="xl80"/>
    <w:basedOn w:val="1"/>
    <w:qFormat/>
    <w:uiPriority w:val="0"/>
    <w:pPr>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36">
    <w:name w:val="xl81"/>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szCs w:val="20"/>
    </w:rPr>
  </w:style>
  <w:style w:type="paragraph" w:customStyle="1" w:styleId="37">
    <w:name w:val="xl82"/>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szCs w:val="20"/>
    </w:rPr>
  </w:style>
  <w:style w:type="paragraph" w:customStyle="1" w:styleId="38">
    <w:name w:val="xl83"/>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szCs w:val="20"/>
    </w:rPr>
  </w:style>
  <w:style w:type="paragraph" w:customStyle="1" w:styleId="39">
    <w:name w:val="xl8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40">
    <w:name w:val="xl85"/>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szCs w:val="20"/>
    </w:rPr>
  </w:style>
  <w:style w:type="paragraph" w:customStyle="1" w:styleId="41">
    <w:name w:val="xl86"/>
    <w:basedOn w:val="1"/>
    <w:qFormat/>
    <w:uiPriority w:val="0"/>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szCs w:val="20"/>
    </w:rPr>
  </w:style>
  <w:style w:type="paragraph" w:customStyle="1" w:styleId="42">
    <w:name w:val="xl8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43">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bottom"/>
    </w:pPr>
    <w:rPr>
      <w:rFonts w:ascii="宋体" w:hAnsi="宋体" w:cs="宋体"/>
      <w:kern w:val="0"/>
      <w:sz w:val="20"/>
      <w:szCs w:val="20"/>
    </w:rPr>
  </w:style>
  <w:style w:type="paragraph" w:customStyle="1" w:styleId="44">
    <w:name w:val="xl8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45">
    <w:name w:val="font5"/>
    <w:basedOn w:val="1"/>
    <w:qFormat/>
    <w:uiPriority w:val="0"/>
    <w:pPr>
      <w:spacing w:before="100" w:beforeAutospacing="1" w:after="100" w:afterAutospacing="1"/>
    </w:pPr>
    <w:rPr>
      <w:rFonts w:ascii="宋体" w:hAnsi="宋体" w:cs="宋体"/>
      <w:kern w:val="0"/>
      <w:sz w:val="18"/>
      <w:szCs w:val="18"/>
    </w:rPr>
  </w:style>
  <w:style w:type="paragraph" w:customStyle="1" w:styleId="46">
    <w:name w:val="TOC Heading"/>
    <w:basedOn w:val="2"/>
    <w:next w:val="1"/>
    <w:unhideWhenUsed/>
    <w:qFormat/>
    <w:uiPriority w:val="39"/>
    <w:pPr>
      <w:outlineLvl w:val="9"/>
    </w:pPr>
  </w:style>
  <w:style w:type="character" w:customStyle="1" w:styleId="47">
    <w:name w:val="标题 字符"/>
    <w:link w:val="14"/>
    <w:qFormat/>
    <w:uiPriority w:val="10"/>
    <w:rPr>
      <w:rFonts w:ascii="Cambria" w:hAnsi="Cambria" w:eastAsia="仿宋"/>
      <w:bCs/>
      <w:kern w:val="2"/>
      <w:sz w:val="28"/>
      <w:szCs w:val="32"/>
    </w:rPr>
  </w:style>
  <w:style w:type="paragraph" w:customStyle="1" w:styleId="48">
    <w:name w:val="样式 标题 1 + 三号"/>
    <w:basedOn w:val="2"/>
    <w:qFormat/>
    <w:uiPriority w:val="0"/>
  </w:style>
  <w:style w:type="paragraph" w:customStyle="1" w:styleId="49">
    <w:name w:val="样式 标题2 + 左"/>
    <w:basedOn w:val="14"/>
    <w:qFormat/>
    <w:uiPriority w:val="0"/>
    <w:rPr>
      <w:rFonts w:cs="宋体"/>
      <w:bCs w:val="0"/>
      <w:szCs w:val="20"/>
    </w:rPr>
  </w:style>
  <w:style w:type="paragraph" w:customStyle="1" w:styleId="50">
    <w:name w:val="标题3"/>
    <w:basedOn w:val="14"/>
    <w:qFormat/>
    <w:uiPriority w:val="0"/>
    <w:pPr>
      <w:numPr>
        <w:ilvl w:val="0"/>
        <w:numId w:val="0"/>
      </w:numPr>
      <w:spacing w:line="360" w:lineRule="auto"/>
    </w:pPr>
    <w:rPr>
      <w:rFonts w:ascii="仿宋_GB2312" w:hAnsi="仿宋_GB2312" w:eastAsia="宋体"/>
      <w:bCs w:val="0"/>
    </w:rPr>
  </w:style>
  <w:style w:type="character" w:customStyle="1" w:styleId="51">
    <w:name w:val="页脚 字符"/>
    <w:link w:val="6"/>
    <w:qFormat/>
    <w:uiPriority w:val="99"/>
    <w:rPr>
      <w:kern w:val="2"/>
      <w:sz w:val="18"/>
      <w:szCs w:val="18"/>
    </w:rPr>
  </w:style>
  <w:style w:type="paragraph" w:customStyle="1" w:styleId="52">
    <w:name w:val="Footer Left"/>
    <w:basedOn w:val="6"/>
    <w:qFormat/>
    <w:uiPriority w:val="35"/>
    <w:pPr>
      <w:pBdr>
        <w:top w:val="dashed" w:color="7F7F7F" w:sz="4" w:space="18"/>
      </w:pBdr>
      <w:tabs>
        <w:tab w:val="center" w:pos="4320"/>
        <w:tab w:val="right" w:pos="8640"/>
        <w:tab w:val="clear" w:pos="4153"/>
        <w:tab w:val="clear" w:pos="8306"/>
      </w:tabs>
      <w:snapToGrid/>
      <w:spacing w:after="200"/>
      <w:contextualSpacing/>
    </w:pPr>
    <w:rPr>
      <w:color w:val="7F7F7F"/>
      <w:kern w:val="0"/>
      <w:sz w:val="20"/>
      <w:szCs w:val="20"/>
    </w:rPr>
  </w:style>
  <w:style w:type="paragraph" w:styleId="53">
    <w:name w:val="List Paragraph"/>
    <w:basedOn w:val="1"/>
    <w:qFormat/>
    <w:uiPriority w:val="34"/>
    <w:pPr>
      <w:widowControl w:val="0"/>
      <w:ind w:firstLine="420" w:firstLineChars="200"/>
      <w:jc w:val="both"/>
    </w:pPr>
  </w:style>
  <w:style w:type="paragraph" w:customStyle="1" w:styleId="54">
    <w:name w:val="Pied de page (premier)"/>
    <w:qFormat/>
    <w:uiPriority w:val="0"/>
    <w:pPr>
      <w:pBdr>
        <w:top w:val="single" w:color="auto" w:sz="6" w:space="12"/>
      </w:pBdr>
      <w:autoSpaceDE w:val="0"/>
      <w:autoSpaceDN w:val="0"/>
      <w:adjustRightInd w:val="0"/>
      <w:jc w:val="center"/>
      <w:textAlignment w:val="baseline"/>
    </w:pPr>
    <w:rPr>
      <w:rFonts w:ascii="宋体" w:hAnsi="Times New Roman" w:eastAsia="宋体" w:cs="Times New Roman"/>
      <w:i/>
      <w:sz w:val="18"/>
      <w:lang w:val="en-US" w:eastAsia="zh-CN" w:bidi="ar-SA"/>
    </w:rPr>
  </w:style>
  <w:style w:type="table" w:customStyle="1" w:styleId="55">
    <w:name w:val="网格型1"/>
    <w:basedOn w:val="16"/>
    <w:qFormat/>
    <w:uiPriority w:val="0"/>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_Style 54"/>
    <w:basedOn w:val="1"/>
    <w:next w:val="53"/>
    <w:qFormat/>
    <w:uiPriority w:val="34"/>
    <w:pPr>
      <w:widowControl w:val="0"/>
      <w:snapToGrid w:val="0"/>
      <w:spacing w:line="360" w:lineRule="auto"/>
      <w:ind w:firstLine="420" w:firstLineChars="200"/>
      <w:jc w:val="both"/>
    </w:pPr>
    <w:rPr>
      <w:rFonts w:ascii="Times New Roman" w:hAnsi="Times New Roman" w:eastAsia="黑体"/>
      <w:sz w:val="24"/>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CD837-A7AA-41CA-801E-E11CC91AC42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10777</Words>
  <Characters>11155</Characters>
  <Lines>71</Lines>
  <Paragraphs>20</Paragraphs>
  <TotalTime>29</TotalTime>
  <ScaleCrop>false</ScaleCrop>
  <LinksUpToDate>false</LinksUpToDate>
  <CharactersWithSpaces>11332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2020-04-10T03:15:00Z</dcterms:created>
  <dc:creator>Administrator</dc:creator>
  <cp:lastModifiedBy>马健钟</cp:lastModifiedBy>
  <cp:lastPrinted>2012-08-24T08:11:00Z</cp:lastPrinted>
  <dcterms:modified xsi:type="dcterms:W3CDTF">2026-07-21T02:50:20Z</dcterms:modified>
  <dc:title>华新水泥股份有限公司物资采购管理办法（修改版）</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eyJoZGlkIjoiNTYzNjIwMzRlNGQ3MTY2N2Q4MGUzNzBmODhkNDZmYmEiLCJ1c2VySWQiOiI2NjA1NTM1NjMifQ==</vt:lpwstr>
  </property>
  <property fmtid="{D5CDD505-2E9C-101B-9397-08002B2CF9AE}" pid="3" name="KSOProductBuildVer">
    <vt:lpwstr>2052-12.1.0.26895</vt:lpwstr>
  </property>
  <property fmtid="{D5CDD505-2E9C-101B-9397-08002B2CF9AE}" pid="4" name="ICV">
    <vt:lpwstr>ED067A38B2FB49439C93B3AF34046435_13</vt:lpwstr>
  </property>
</Properties>
</file>