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38312E">
      <w:pPr>
        <w:pStyle w:val="4"/>
        <w:numPr>
          <w:ilvl w:val="2"/>
          <w:numId w:val="1"/>
        </w:numPr>
      </w:pPr>
      <w:bookmarkStart w:id="0" w:name="_Toc32472"/>
      <w:bookmarkStart w:id="4" w:name="_GoBack"/>
      <w:bookmarkEnd w:id="4"/>
      <w:r>
        <w:rPr>
          <w:rFonts w:hint="eastAsia"/>
        </w:rPr>
        <w:t>登陆供应商平台</w:t>
      </w:r>
      <w:bookmarkEnd w:id="0"/>
    </w:p>
    <w:p w14:paraId="116F50E1">
      <w:pPr>
        <w:pStyle w:val="6"/>
        <w:spacing w:before="17"/>
        <w:rPr>
          <w:sz w:val="8"/>
        </w:rPr>
      </w:pPr>
    </w:p>
    <w:tbl>
      <w:tblPr>
        <w:tblStyle w:val="12"/>
        <w:tblW w:w="0" w:type="auto"/>
        <w:tblInd w:w="208" w:type="dxa"/>
        <w:tblLayout w:type="fixed"/>
        <w:tblCellMar>
          <w:top w:w="0" w:type="dxa"/>
          <w:left w:w="0" w:type="dxa"/>
          <w:bottom w:w="0" w:type="dxa"/>
          <w:right w:w="0" w:type="dxa"/>
        </w:tblCellMar>
      </w:tblPr>
      <w:tblGrid>
        <w:gridCol w:w="5641"/>
        <w:gridCol w:w="3872"/>
      </w:tblGrid>
      <w:tr w14:paraId="5F8B779D">
        <w:tblPrEx>
          <w:tblCellMar>
            <w:top w:w="0" w:type="dxa"/>
            <w:left w:w="0" w:type="dxa"/>
            <w:bottom w:w="0" w:type="dxa"/>
            <w:right w:w="0" w:type="dxa"/>
          </w:tblCellMar>
        </w:tblPrEx>
        <w:trPr>
          <w:trHeight w:val="1918" w:hRule="atLeast"/>
        </w:trPr>
        <w:tc>
          <w:tcPr>
            <w:tcW w:w="5641" w:type="dxa"/>
          </w:tcPr>
          <w:p w14:paraId="404C670D">
            <w:pPr>
              <w:pStyle w:val="16"/>
              <w:ind w:left="-20"/>
              <w:rPr>
                <w:sz w:val="20"/>
              </w:rPr>
            </w:pPr>
            <w:r>
              <w:rPr>
                <w:sz w:val="20"/>
              </w:rPr>
              <w:drawing>
                <wp:inline distT="0" distB="0" distL="0" distR="0">
                  <wp:extent cx="3566160" cy="2081530"/>
                  <wp:effectExtent l="0" t="0" r="15240" b="13970"/>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6" cstate="print"/>
                          <a:stretch>
                            <a:fillRect/>
                          </a:stretch>
                        </pic:blipFill>
                        <pic:spPr>
                          <a:xfrm>
                            <a:off x="0" y="0"/>
                            <a:ext cx="3566753" cy="2081593"/>
                          </a:xfrm>
                          <a:prstGeom prst="rect">
                            <a:avLst/>
                          </a:prstGeom>
                        </pic:spPr>
                      </pic:pic>
                    </a:graphicData>
                  </a:graphic>
                </wp:inline>
              </w:drawing>
            </w:r>
          </w:p>
        </w:tc>
        <w:tc>
          <w:tcPr>
            <w:tcW w:w="3872" w:type="dxa"/>
            <w:shd w:val="clear" w:color="auto" w:fill="E2EDF5"/>
          </w:tcPr>
          <w:p w14:paraId="1475D73F">
            <w:pPr>
              <w:pStyle w:val="16"/>
              <w:spacing w:before="330"/>
              <w:rPr>
                <w:sz w:val="21"/>
              </w:rPr>
            </w:pPr>
          </w:p>
          <w:p w14:paraId="0961449F">
            <w:pPr>
              <w:pStyle w:val="16"/>
              <w:numPr>
                <w:ilvl w:val="0"/>
                <w:numId w:val="2"/>
              </w:numPr>
              <w:tabs>
                <w:tab w:val="left" w:pos="514"/>
              </w:tabs>
              <w:spacing w:line="223" w:lineRule="auto"/>
              <w:ind w:right="258"/>
              <w:rPr>
                <w:sz w:val="21"/>
              </w:rPr>
            </w:pPr>
            <w:r>
              <w:rPr>
                <w:spacing w:val="-2"/>
                <w:sz w:val="21"/>
              </w:rPr>
              <w:t>登录华新水泥网站主页，点击进入</w:t>
            </w:r>
            <w:r>
              <w:rPr>
                <w:sz w:val="21"/>
              </w:rPr>
              <w:t>系统 在地址栏输入htttp：</w:t>
            </w:r>
          </w:p>
          <w:p w14:paraId="6A31C33F">
            <w:pPr>
              <w:pStyle w:val="16"/>
              <w:spacing w:line="223" w:lineRule="auto"/>
              <w:ind w:left="514" w:right="5"/>
              <w:rPr>
                <w:sz w:val="21"/>
              </w:rPr>
            </w:pPr>
            <w:r>
              <w:rPr>
                <w:spacing w:val="-2"/>
                <w:sz w:val="21"/>
              </w:rPr>
              <w:t xml:space="preserve">//biz.huaxincem.com/bid/home. </w:t>
            </w:r>
            <w:r>
              <w:rPr>
                <w:spacing w:val="-6"/>
                <w:sz w:val="21"/>
              </w:rPr>
              <w:t>do</w:t>
            </w:r>
          </w:p>
          <w:p w14:paraId="024AE4D5">
            <w:pPr>
              <w:pStyle w:val="16"/>
              <w:numPr>
                <w:ilvl w:val="0"/>
                <w:numId w:val="2"/>
              </w:numPr>
              <w:tabs>
                <w:tab w:val="left" w:pos="514"/>
              </w:tabs>
              <w:spacing w:before="38"/>
              <w:rPr>
                <w:sz w:val="21"/>
              </w:rPr>
            </w:pPr>
            <w:r>
              <w:rPr>
                <w:spacing w:val="-3"/>
                <w:sz w:val="21"/>
              </w:rPr>
              <w:t>进入系统</w:t>
            </w:r>
            <w:r>
              <w:rPr>
                <w:rFonts w:hint="eastAsia"/>
                <w:spacing w:val="-3"/>
                <w:sz w:val="21"/>
              </w:rPr>
              <w:t>,点击登陆按钮打开登陆界面；</w:t>
            </w:r>
          </w:p>
        </w:tc>
      </w:tr>
      <w:tr w14:paraId="49432B7B">
        <w:tblPrEx>
          <w:tblCellMar>
            <w:top w:w="0" w:type="dxa"/>
            <w:left w:w="0" w:type="dxa"/>
            <w:bottom w:w="0" w:type="dxa"/>
            <w:right w:w="0" w:type="dxa"/>
          </w:tblCellMar>
        </w:tblPrEx>
        <w:trPr>
          <w:trHeight w:val="1509" w:hRule="atLeast"/>
        </w:trPr>
        <w:tc>
          <w:tcPr>
            <w:tcW w:w="5641" w:type="dxa"/>
          </w:tcPr>
          <w:p w14:paraId="5F1492E6">
            <w:pPr>
              <w:pStyle w:val="16"/>
              <w:ind w:left="-20"/>
              <w:rPr>
                <w:sz w:val="20"/>
              </w:rPr>
            </w:pPr>
            <w:r>
              <w:drawing>
                <wp:inline distT="0" distB="0" distL="114300" distR="114300">
                  <wp:extent cx="3552825" cy="1362075"/>
                  <wp:effectExtent l="0" t="0" r="0"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rcRect l="10992" t="21118" r="14209" b="14320"/>
                          <a:stretch>
                            <a:fillRect/>
                          </a:stretch>
                        </pic:blipFill>
                        <pic:spPr>
                          <a:xfrm>
                            <a:off x="0" y="0"/>
                            <a:ext cx="3604523" cy="1382381"/>
                          </a:xfrm>
                          <a:prstGeom prst="rect">
                            <a:avLst/>
                          </a:prstGeom>
                          <a:noFill/>
                          <a:ln>
                            <a:noFill/>
                          </a:ln>
                        </pic:spPr>
                      </pic:pic>
                    </a:graphicData>
                  </a:graphic>
                </wp:inline>
              </w:drawing>
            </w:r>
          </w:p>
        </w:tc>
        <w:tc>
          <w:tcPr>
            <w:tcW w:w="3872" w:type="dxa"/>
            <w:shd w:val="clear" w:color="auto" w:fill="E2EDF5"/>
          </w:tcPr>
          <w:p w14:paraId="3880B6F0">
            <w:pPr>
              <w:pStyle w:val="16"/>
              <w:rPr>
                <w:sz w:val="24"/>
              </w:rPr>
            </w:pPr>
          </w:p>
          <w:p w14:paraId="4ACBC1C4">
            <w:pPr>
              <w:pStyle w:val="16"/>
              <w:numPr>
                <w:ilvl w:val="0"/>
                <w:numId w:val="3"/>
              </w:numPr>
              <w:tabs>
                <w:tab w:val="left" w:pos="510"/>
                <w:tab w:val="left" w:pos="514"/>
              </w:tabs>
              <w:spacing w:line="232" w:lineRule="auto"/>
              <w:ind w:left="510" w:right="258" w:hanging="420"/>
              <w:rPr>
                <w:sz w:val="21"/>
              </w:rPr>
            </w:pPr>
            <w:r>
              <w:rPr>
                <w:rFonts w:hint="eastAsia"/>
                <w:sz w:val="21"/>
              </w:rPr>
              <w:t>输入账户名称，密码，验证码信息，点击登陆；</w:t>
            </w:r>
          </w:p>
        </w:tc>
      </w:tr>
    </w:tbl>
    <w:p w14:paraId="3438AE1D">
      <w:pPr>
        <w:pStyle w:val="16"/>
        <w:spacing w:line="232" w:lineRule="auto"/>
        <w:rPr>
          <w:sz w:val="21"/>
        </w:rPr>
        <w:sectPr>
          <w:headerReference r:id="rId3" w:type="default"/>
          <w:footerReference r:id="rId4" w:type="default"/>
          <w:pgSz w:w="11910" w:h="16840"/>
          <w:pgMar w:top="1920" w:right="141" w:bottom="1500" w:left="1275" w:header="566" w:footer="1302" w:gutter="0"/>
          <w:cols w:space="720" w:num="1"/>
        </w:sectPr>
      </w:pPr>
    </w:p>
    <w:p w14:paraId="29BDBF9B">
      <w:pPr>
        <w:pStyle w:val="4"/>
        <w:numPr>
          <w:ilvl w:val="2"/>
          <w:numId w:val="1"/>
        </w:numPr>
      </w:pPr>
      <w:bookmarkStart w:id="1" w:name="_Toc28918"/>
      <w:r>
        <w:rPr>
          <w:rFonts w:hint="eastAsia"/>
        </w:rPr>
        <w:t>查找竞买项目</w:t>
      </w:r>
      <w:bookmarkEnd w:id="1"/>
    </w:p>
    <w:p w14:paraId="17BDD0DA">
      <w:pPr>
        <w:pStyle w:val="4"/>
        <w:ind w:left="1361" w:leftChars="300"/>
        <w:rPr>
          <w:sz w:val="7"/>
        </w:rPr>
      </w:pPr>
    </w:p>
    <w:tbl>
      <w:tblPr>
        <w:tblStyle w:val="12"/>
        <w:tblW w:w="0" w:type="auto"/>
        <w:tblInd w:w="208" w:type="dxa"/>
        <w:tblLayout w:type="fixed"/>
        <w:tblCellMar>
          <w:top w:w="0" w:type="dxa"/>
          <w:left w:w="0" w:type="dxa"/>
          <w:bottom w:w="0" w:type="dxa"/>
          <w:right w:w="0" w:type="dxa"/>
        </w:tblCellMar>
      </w:tblPr>
      <w:tblGrid>
        <w:gridCol w:w="5722"/>
        <w:gridCol w:w="3928"/>
      </w:tblGrid>
      <w:tr w14:paraId="60DA065B">
        <w:tblPrEx>
          <w:tblCellMar>
            <w:top w:w="0" w:type="dxa"/>
            <w:left w:w="0" w:type="dxa"/>
            <w:bottom w:w="0" w:type="dxa"/>
            <w:right w:w="0" w:type="dxa"/>
          </w:tblCellMar>
        </w:tblPrEx>
        <w:trPr>
          <w:trHeight w:val="7845" w:hRule="atLeast"/>
        </w:trPr>
        <w:tc>
          <w:tcPr>
            <w:tcW w:w="5722" w:type="dxa"/>
          </w:tcPr>
          <w:p w14:paraId="28758B3D">
            <w:pPr>
              <w:pStyle w:val="16"/>
              <w:ind w:left="-20"/>
            </w:pPr>
            <w:r>
              <w:drawing>
                <wp:inline distT="0" distB="0" distL="114300" distR="114300">
                  <wp:extent cx="3630930" cy="2324100"/>
                  <wp:effectExtent l="0" t="0" r="762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
                          <a:stretch>
                            <a:fillRect/>
                          </a:stretch>
                        </pic:blipFill>
                        <pic:spPr>
                          <a:xfrm>
                            <a:off x="0" y="0"/>
                            <a:ext cx="3630930" cy="2324100"/>
                          </a:xfrm>
                          <a:prstGeom prst="rect">
                            <a:avLst/>
                          </a:prstGeom>
                          <a:noFill/>
                          <a:ln>
                            <a:noFill/>
                          </a:ln>
                        </pic:spPr>
                      </pic:pic>
                    </a:graphicData>
                  </a:graphic>
                </wp:inline>
              </w:drawing>
            </w:r>
          </w:p>
          <w:p w14:paraId="08E96760">
            <w:pPr>
              <w:pStyle w:val="16"/>
              <w:ind w:left="-20"/>
            </w:pPr>
          </w:p>
          <w:p w14:paraId="1458492C">
            <w:pPr>
              <w:pStyle w:val="16"/>
            </w:pPr>
            <w:r>
              <w:drawing>
                <wp:inline distT="0" distB="0" distL="114300" distR="114300">
                  <wp:extent cx="3629025" cy="2503805"/>
                  <wp:effectExtent l="0" t="0" r="9525" b="1079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9"/>
                          <a:stretch>
                            <a:fillRect/>
                          </a:stretch>
                        </pic:blipFill>
                        <pic:spPr>
                          <a:xfrm>
                            <a:off x="0" y="0"/>
                            <a:ext cx="3629025" cy="2503805"/>
                          </a:xfrm>
                          <a:prstGeom prst="rect">
                            <a:avLst/>
                          </a:prstGeom>
                          <a:noFill/>
                          <a:ln>
                            <a:noFill/>
                          </a:ln>
                        </pic:spPr>
                      </pic:pic>
                    </a:graphicData>
                  </a:graphic>
                </wp:inline>
              </w:drawing>
            </w:r>
          </w:p>
        </w:tc>
        <w:tc>
          <w:tcPr>
            <w:tcW w:w="3928" w:type="dxa"/>
            <w:shd w:val="clear" w:color="auto" w:fill="E2EDF5"/>
          </w:tcPr>
          <w:p w14:paraId="2DCB4317">
            <w:pPr>
              <w:pStyle w:val="16"/>
              <w:spacing w:before="330"/>
              <w:rPr>
                <w:sz w:val="21"/>
              </w:rPr>
            </w:pPr>
          </w:p>
          <w:p w14:paraId="5704F1F9">
            <w:pPr>
              <w:pStyle w:val="16"/>
              <w:numPr>
                <w:ilvl w:val="0"/>
                <w:numId w:val="2"/>
              </w:numPr>
              <w:tabs>
                <w:tab w:val="left" w:pos="514"/>
              </w:tabs>
              <w:spacing w:before="38"/>
              <w:rPr>
                <w:sz w:val="21"/>
              </w:rPr>
            </w:pPr>
            <w:r>
              <w:rPr>
                <w:rFonts w:hint="eastAsia"/>
                <w:spacing w:val="-3"/>
                <w:sz w:val="21"/>
              </w:rPr>
              <w:t>登陆成功后，在首页上方导航栏点击“竞买竞卖”导航，切换到竞买竞卖页面，进入竞买项目有三个入口；</w:t>
            </w:r>
          </w:p>
          <w:p w14:paraId="5A2400A0">
            <w:pPr>
              <w:pStyle w:val="16"/>
              <w:numPr>
                <w:ilvl w:val="0"/>
                <w:numId w:val="2"/>
              </w:numPr>
              <w:tabs>
                <w:tab w:val="left" w:pos="514"/>
              </w:tabs>
              <w:spacing w:before="38"/>
              <w:rPr>
                <w:sz w:val="21"/>
              </w:rPr>
            </w:pPr>
            <w:r>
              <w:rPr>
                <w:rFonts w:hint="eastAsia"/>
                <w:sz w:val="21"/>
              </w:rPr>
              <w:t>入口一：最新竞买/竞拍公告列表，可查看到最新竞买项目，点击目前状态的按钮，可进入到项目详情页面；</w:t>
            </w:r>
          </w:p>
          <w:p w14:paraId="09072D88">
            <w:pPr>
              <w:pStyle w:val="16"/>
              <w:numPr>
                <w:ilvl w:val="0"/>
                <w:numId w:val="2"/>
              </w:numPr>
              <w:tabs>
                <w:tab w:val="left" w:pos="514"/>
              </w:tabs>
              <w:spacing w:before="38"/>
              <w:rPr>
                <w:sz w:val="21"/>
              </w:rPr>
            </w:pPr>
            <w:r>
              <w:rPr>
                <w:rFonts w:hint="eastAsia"/>
                <w:sz w:val="21"/>
              </w:rPr>
              <w:t>入口二：点击查看是有竞拍公告，进入到竞拍公告列表页，点击标题可进入到项目详情页面；（在列表页支持标题名称与状态的条件去查询个人需要的数据信息）</w:t>
            </w:r>
          </w:p>
          <w:p w14:paraId="7D506B6B">
            <w:pPr>
              <w:pStyle w:val="16"/>
              <w:numPr>
                <w:ilvl w:val="0"/>
                <w:numId w:val="2"/>
              </w:numPr>
              <w:tabs>
                <w:tab w:val="left" w:pos="514"/>
              </w:tabs>
              <w:spacing w:before="38"/>
              <w:rPr>
                <w:sz w:val="21"/>
              </w:rPr>
            </w:pPr>
            <w:r>
              <w:rPr>
                <w:rFonts w:hint="eastAsia"/>
                <w:sz w:val="21"/>
              </w:rPr>
              <w:t>入口三：通过消息中心-我的消息-查看更多消息进入到消息列表，点击标题名称可进入到项目详情页面；（此入口需要项目发起方在发起竞买项目时添加了通知供应商才可接收到）</w:t>
            </w:r>
          </w:p>
        </w:tc>
      </w:tr>
      <w:tr w14:paraId="3A962E36">
        <w:tblPrEx>
          <w:tblCellMar>
            <w:top w:w="0" w:type="dxa"/>
            <w:left w:w="0" w:type="dxa"/>
            <w:bottom w:w="0" w:type="dxa"/>
            <w:right w:w="0" w:type="dxa"/>
          </w:tblCellMar>
        </w:tblPrEx>
        <w:trPr>
          <w:trHeight w:val="2621" w:hRule="atLeast"/>
        </w:trPr>
        <w:tc>
          <w:tcPr>
            <w:tcW w:w="5722" w:type="dxa"/>
          </w:tcPr>
          <w:p w14:paraId="207FC84F">
            <w:pPr>
              <w:pStyle w:val="16"/>
              <w:ind w:left="-20"/>
            </w:pPr>
          </w:p>
          <w:p w14:paraId="6B475E23">
            <w:pPr>
              <w:pStyle w:val="16"/>
              <w:ind w:left="-20"/>
            </w:pPr>
            <w:r>
              <w:drawing>
                <wp:inline distT="0" distB="0" distL="114300" distR="114300">
                  <wp:extent cx="3632200" cy="2339340"/>
                  <wp:effectExtent l="0" t="0" r="6350" b="381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0"/>
                          <a:stretch>
                            <a:fillRect/>
                          </a:stretch>
                        </pic:blipFill>
                        <pic:spPr>
                          <a:xfrm>
                            <a:off x="0" y="0"/>
                            <a:ext cx="3632200" cy="2339340"/>
                          </a:xfrm>
                          <a:prstGeom prst="rect">
                            <a:avLst/>
                          </a:prstGeom>
                          <a:noFill/>
                          <a:ln>
                            <a:noFill/>
                          </a:ln>
                        </pic:spPr>
                      </pic:pic>
                    </a:graphicData>
                  </a:graphic>
                </wp:inline>
              </w:drawing>
            </w:r>
          </w:p>
          <w:p w14:paraId="1194DD44">
            <w:pPr>
              <w:pStyle w:val="16"/>
              <w:ind w:left="-20"/>
            </w:pPr>
          </w:p>
        </w:tc>
        <w:tc>
          <w:tcPr>
            <w:tcW w:w="3928" w:type="dxa"/>
            <w:shd w:val="clear" w:color="auto" w:fill="E2EDF5"/>
          </w:tcPr>
          <w:p w14:paraId="0428864C">
            <w:pPr>
              <w:pStyle w:val="16"/>
              <w:rPr>
                <w:sz w:val="24"/>
              </w:rPr>
            </w:pPr>
          </w:p>
          <w:p w14:paraId="443FB0A5">
            <w:pPr>
              <w:pStyle w:val="16"/>
              <w:numPr>
                <w:ilvl w:val="0"/>
                <w:numId w:val="3"/>
              </w:numPr>
              <w:tabs>
                <w:tab w:val="left" w:pos="510"/>
                <w:tab w:val="left" w:pos="514"/>
              </w:tabs>
              <w:spacing w:line="232" w:lineRule="auto"/>
              <w:ind w:left="510" w:right="258" w:hanging="420"/>
              <w:rPr>
                <w:sz w:val="21"/>
              </w:rPr>
            </w:pPr>
            <w:r>
              <w:rPr>
                <w:rFonts w:hint="eastAsia"/>
                <w:sz w:val="21"/>
              </w:rPr>
              <w:t>通过入口找到相应的项目，进入到竞买项目详情页面，在该页面可查看到竞拍项目明细信息，也支持报名、进入报价大厅等操作；</w:t>
            </w:r>
          </w:p>
        </w:tc>
      </w:tr>
    </w:tbl>
    <w:p w14:paraId="74CFE0E1">
      <w:pPr>
        <w:pStyle w:val="6"/>
        <w:rPr>
          <w:sz w:val="7"/>
        </w:rPr>
        <w:sectPr>
          <w:type w:val="continuous"/>
          <w:pgSz w:w="11910" w:h="16840"/>
          <w:pgMar w:top="1920" w:right="141" w:bottom="1500" w:left="1275" w:header="566" w:footer="1302" w:gutter="0"/>
          <w:cols w:space="720" w:num="1"/>
        </w:sectPr>
      </w:pPr>
    </w:p>
    <w:p w14:paraId="150A5797">
      <w:pPr>
        <w:pStyle w:val="16"/>
        <w:spacing w:line="223" w:lineRule="auto"/>
        <w:rPr>
          <w:sz w:val="21"/>
        </w:rPr>
        <w:sectPr>
          <w:pgSz w:w="11910" w:h="16840"/>
          <w:pgMar w:top="1920" w:right="141" w:bottom="1500" w:left="1275" w:header="566" w:footer="1302" w:gutter="0"/>
          <w:cols w:space="720" w:num="1"/>
        </w:sectPr>
      </w:pPr>
    </w:p>
    <w:p w14:paraId="7C49C87A">
      <w:pPr>
        <w:pStyle w:val="16"/>
        <w:spacing w:line="225" w:lineRule="auto"/>
        <w:rPr>
          <w:sz w:val="21"/>
        </w:rPr>
        <w:sectPr>
          <w:type w:val="continuous"/>
          <w:pgSz w:w="11910" w:h="16840"/>
          <w:pgMar w:top="1920" w:right="141" w:bottom="1500" w:left="1275" w:header="566" w:footer="1302" w:gutter="0"/>
          <w:cols w:space="720" w:num="1"/>
        </w:sectPr>
      </w:pPr>
    </w:p>
    <w:p w14:paraId="14EE2E44">
      <w:pPr>
        <w:pStyle w:val="4"/>
        <w:numPr>
          <w:ilvl w:val="2"/>
          <w:numId w:val="1"/>
        </w:numPr>
      </w:pPr>
      <w:bookmarkStart w:id="2" w:name="_Toc126"/>
      <w:r>
        <w:rPr>
          <w:rFonts w:hint="eastAsia"/>
        </w:rPr>
        <w:t>竞买项目报名</w:t>
      </w:r>
      <w:bookmarkEnd w:id="2"/>
    </w:p>
    <w:p w14:paraId="0DFE3A89">
      <w:pPr>
        <w:pStyle w:val="6"/>
        <w:spacing w:before="4"/>
        <w:rPr>
          <w:sz w:val="9"/>
        </w:rPr>
      </w:pPr>
    </w:p>
    <w:tbl>
      <w:tblPr>
        <w:tblStyle w:val="12"/>
        <w:tblW w:w="0" w:type="auto"/>
        <w:tblCellSpacing w:w="14" w:type="dxa"/>
        <w:tblInd w:w="182" w:type="dxa"/>
        <w:tblLayout w:type="fixed"/>
        <w:tblCellMar>
          <w:top w:w="0" w:type="dxa"/>
          <w:left w:w="0" w:type="dxa"/>
          <w:bottom w:w="0" w:type="dxa"/>
          <w:right w:w="0" w:type="dxa"/>
        </w:tblCellMar>
      </w:tblPr>
      <w:tblGrid>
        <w:gridCol w:w="5886"/>
        <w:gridCol w:w="4052"/>
      </w:tblGrid>
      <w:tr w14:paraId="223D8BAC">
        <w:tblPrEx>
          <w:tblCellMar>
            <w:top w:w="0" w:type="dxa"/>
            <w:left w:w="0" w:type="dxa"/>
            <w:bottom w:w="0" w:type="dxa"/>
            <w:right w:w="0" w:type="dxa"/>
          </w:tblCellMar>
        </w:tblPrEx>
        <w:trPr>
          <w:trHeight w:val="2079" w:hRule="atLeast"/>
          <w:tblCellSpacing w:w="14" w:type="dxa"/>
        </w:trPr>
        <w:tc>
          <w:tcPr>
            <w:tcW w:w="5844" w:type="dxa"/>
            <w:tcBorders>
              <w:right w:val="nil"/>
            </w:tcBorders>
            <w:shd w:val="clear" w:color="auto" w:fill="E2EDF5"/>
          </w:tcPr>
          <w:p w14:paraId="763C4A53">
            <w:pPr>
              <w:pStyle w:val="16"/>
              <w:ind w:left="92"/>
              <w:rPr>
                <w:sz w:val="20"/>
              </w:rPr>
            </w:pPr>
            <w:r>
              <w:drawing>
                <wp:inline distT="0" distB="0" distL="114300" distR="114300">
                  <wp:extent cx="3682365" cy="1743075"/>
                  <wp:effectExtent l="0" t="0" r="0" b="952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0"/>
                          <a:stretch>
                            <a:fillRect/>
                          </a:stretch>
                        </pic:blipFill>
                        <pic:spPr>
                          <a:xfrm>
                            <a:off x="0" y="0"/>
                            <a:ext cx="3682365" cy="1743075"/>
                          </a:xfrm>
                          <a:prstGeom prst="rect">
                            <a:avLst/>
                          </a:prstGeom>
                          <a:noFill/>
                          <a:ln>
                            <a:noFill/>
                          </a:ln>
                        </pic:spPr>
                      </pic:pic>
                    </a:graphicData>
                  </a:graphic>
                </wp:inline>
              </w:drawing>
            </w:r>
          </w:p>
        </w:tc>
        <w:tc>
          <w:tcPr>
            <w:tcW w:w="4010" w:type="dxa"/>
            <w:tcBorders>
              <w:left w:val="nil"/>
            </w:tcBorders>
            <w:shd w:val="clear" w:color="auto" w:fill="E2EDF5"/>
            <w:vAlign w:val="center"/>
          </w:tcPr>
          <w:p w14:paraId="0C9AC7F5">
            <w:pPr>
              <w:pStyle w:val="16"/>
              <w:numPr>
                <w:ilvl w:val="0"/>
                <w:numId w:val="4"/>
              </w:numPr>
              <w:tabs>
                <w:tab w:val="left" w:pos="514"/>
              </w:tabs>
              <w:spacing w:line="223" w:lineRule="auto"/>
              <w:ind w:right="128"/>
              <w:jc w:val="both"/>
              <w:rPr>
                <w:sz w:val="21"/>
              </w:rPr>
            </w:pPr>
            <w:r>
              <w:rPr>
                <w:rFonts w:hint="eastAsia"/>
                <w:spacing w:val="-2"/>
                <w:sz w:val="21"/>
              </w:rPr>
              <w:t>进入到竞买详情页面时，点击我要竞拍即可进入到报名页面；（注意，此按钮仅在竞拍未结束时才会显示）</w:t>
            </w:r>
          </w:p>
        </w:tc>
      </w:tr>
      <w:tr w14:paraId="343058F6">
        <w:tblPrEx>
          <w:tblCellMar>
            <w:top w:w="0" w:type="dxa"/>
            <w:left w:w="0" w:type="dxa"/>
            <w:bottom w:w="0" w:type="dxa"/>
            <w:right w:w="0" w:type="dxa"/>
          </w:tblCellMar>
        </w:tblPrEx>
        <w:trPr>
          <w:trHeight w:val="2079" w:hRule="atLeast"/>
          <w:tblCellSpacing w:w="14" w:type="dxa"/>
        </w:trPr>
        <w:tc>
          <w:tcPr>
            <w:tcW w:w="5844" w:type="dxa"/>
            <w:tcBorders>
              <w:right w:val="nil"/>
            </w:tcBorders>
            <w:shd w:val="clear" w:color="auto" w:fill="E2EDF5"/>
          </w:tcPr>
          <w:p w14:paraId="33E37A62">
            <w:pPr>
              <w:pStyle w:val="16"/>
              <w:ind w:left="92"/>
            </w:pPr>
            <w:r>
              <w:drawing>
                <wp:inline distT="0" distB="0" distL="114300" distR="114300">
                  <wp:extent cx="3691890" cy="1933575"/>
                  <wp:effectExtent l="0" t="0" r="3810" b="952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1"/>
                          <a:stretch>
                            <a:fillRect/>
                          </a:stretch>
                        </pic:blipFill>
                        <pic:spPr>
                          <a:xfrm>
                            <a:off x="0" y="0"/>
                            <a:ext cx="3691890" cy="1933575"/>
                          </a:xfrm>
                          <a:prstGeom prst="rect">
                            <a:avLst/>
                          </a:prstGeom>
                          <a:noFill/>
                          <a:ln>
                            <a:noFill/>
                          </a:ln>
                        </pic:spPr>
                      </pic:pic>
                    </a:graphicData>
                  </a:graphic>
                </wp:inline>
              </w:drawing>
            </w:r>
          </w:p>
        </w:tc>
        <w:tc>
          <w:tcPr>
            <w:tcW w:w="4010" w:type="dxa"/>
            <w:tcBorders>
              <w:left w:val="nil"/>
            </w:tcBorders>
            <w:shd w:val="clear" w:color="auto" w:fill="E2EDF5"/>
            <w:vAlign w:val="center"/>
          </w:tcPr>
          <w:p w14:paraId="3BBA5B9C">
            <w:pPr>
              <w:pStyle w:val="16"/>
              <w:numPr>
                <w:ilvl w:val="0"/>
                <w:numId w:val="4"/>
              </w:numPr>
              <w:tabs>
                <w:tab w:val="left" w:pos="514"/>
              </w:tabs>
              <w:spacing w:line="223" w:lineRule="auto"/>
              <w:ind w:right="128"/>
              <w:jc w:val="both"/>
              <w:rPr>
                <w:spacing w:val="-2"/>
                <w:sz w:val="21"/>
              </w:rPr>
            </w:pPr>
            <w:r>
              <w:rPr>
                <w:rFonts w:hint="eastAsia"/>
                <w:spacing w:val="-2"/>
                <w:sz w:val="21"/>
              </w:rPr>
              <w:t>点击我要竞拍后，会进入到报名申请页面，进入页面时需要认真阅读竞拍条款，点击同意条款后才可进行报名；</w:t>
            </w:r>
          </w:p>
          <w:p w14:paraId="64DBCDDD">
            <w:pPr>
              <w:pStyle w:val="16"/>
              <w:numPr>
                <w:ilvl w:val="0"/>
                <w:numId w:val="4"/>
              </w:numPr>
              <w:tabs>
                <w:tab w:val="left" w:pos="514"/>
              </w:tabs>
              <w:spacing w:line="223" w:lineRule="auto"/>
              <w:ind w:right="128"/>
              <w:jc w:val="both"/>
              <w:rPr>
                <w:spacing w:val="-2"/>
                <w:sz w:val="21"/>
              </w:rPr>
            </w:pPr>
            <w:r>
              <w:rPr>
                <w:rFonts w:hint="eastAsia"/>
                <w:spacing w:val="-2"/>
                <w:sz w:val="21"/>
              </w:rPr>
              <w:t>同意条款后，会根据您是否符合此次竞拍物料资质给您不同的提示；</w:t>
            </w:r>
          </w:p>
        </w:tc>
      </w:tr>
      <w:tr w14:paraId="742B736D">
        <w:tblPrEx>
          <w:tblCellMar>
            <w:top w:w="0" w:type="dxa"/>
            <w:left w:w="0" w:type="dxa"/>
            <w:bottom w:w="0" w:type="dxa"/>
            <w:right w:w="0" w:type="dxa"/>
          </w:tblCellMar>
        </w:tblPrEx>
        <w:trPr>
          <w:trHeight w:val="2079" w:hRule="atLeast"/>
          <w:tblCellSpacing w:w="14" w:type="dxa"/>
        </w:trPr>
        <w:tc>
          <w:tcPr>
            <w:tcW w:w="5844" w:type="dxa"/>
            <w:tcBorders>
              <w:right w:val="nil"/>
            </w:tcBorders>
            <w:shd w:val="clear" w:color="auto" w:fill="E2EDF5"/>
          </w:tcPr>
          <w:p w14:paraId="2EE9312B">
            <w:pPr>
              <w:pStyle w:val="16"/>
              <w:ind w:left="92"/>
            </w:pPr>
            <w:r>
              <w:drawing>
                <wp:inline distT="0" distB="0" distL="114300" distR="114300">
                  <wp:extent cx="3686810" cy="1858645"/>
                  <wp:effectExtent l="0" t="0" r="8890" b="825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2"/>
                          <a:stretch>
                            <a:fillRect/>
                          </a:stretch>
                        </pic:blipFill>
                        <pic:spPr>
                          <a:xfrm>
                            <a:off x="0" y="0"/>
                            <a:ext cx="3686810" cy="1858645"/>
                          </a:xfrm>
                          <a:prstGeom prst="rect">
                            <a:avLst/>
                          </a:prstGeom>
                          <a:noFill/>
                          <a:ln>
                            <a:noFill/>
                          </a:ln>
                        </pic:spPr>
                      </pic:pic>
                    </a:graphicData>
                  </a:graphic>
                </wp:inline>
              </w:drawing>
            </w:r>
          </w:p>
        </w:tc>
        <w:tc>
          <w:tcPr>
            <w:tcW w:w="4010" w:type="dxa"/>
            <w:tcBorders>
              <w:left w:val="nil"/>
            </w:tcBorders>
            <w:shd w:val="clear" w:color="auto" w:fill="E2EDF5"/>
            <w:vAlign w:val="center"/>
          </w:tcPr>
          <w:p w14:paraId="4966B629">
            <w:pPr>
              <w:pStyle w:val="16"/>
              <w:numPr>
                <w:ilvl w:val="0"/>
                <w:numId w:val="4"/>
              </w:numPr>
              <w:tabs>
                <w:tab w:val="left" w:pos="514"/>
              </w:tabs>
              <w:spacing w:line="223" w:lineRule="auto"/>
              <w:ind w:right="128"/>
              <w:jc w:val="both"/>
              <w:rPr>
                <w:spacing w:val="-2"/>
                <w:sz w:val="21"/>
              </w:rPr>
            </w:pPr>
            <w:r>
              <w:rPr>
                <w:rFonts w:hint="eastAsia"/>
                <w:spacing w:val="-2"/>
                <w:sz w:val="21"/>
              </w:rPr>
              <w:t>不符合物料资质时，无法进行报名，需要在用户中心→物料信息中维护相应的信息，等后台审核成功后才可以进行报名；</w:t>
            </w:r>
          </w:p>
        </w:tc>
      </w:tr>
      <w:tr w14:paraId="34433353">
        <w:tblPrEx>
          <w:tblCellMar>
            <w:top w:w="0" w:type="dxa"/>
            <w:left w:w="0" w:type="dxa"/>
            <w:bottom w:w="0" w:type="dxa"/>
            <w:right w:w="0" w:type="dxa"/>
          </w:tblCellMar>
        </w:tblPrEx>
        <w:trPr>
          <w:trHeight w:val="2079" w:hRule="atLeast"/>
          <w:tblCellSpacing w:w="14" w:type="dxa"/>
        </w:trPr>
        <w:tc>
          <w:tcPr>
            <w:tcW w:w="5844" w:type="dxa"/>
            <w:tcBorders>
              <w:right w:val="nil"/>
            </w:tcBorders>
            <w:shd w:val="clear" w:color="auto" w:fill="E2EDF5"/>
          </w:tcPr>
          <w:p w14:paraId="1118EF01">
            <w:pPr>
              <w:pStyle w:val="16"/>
              <w:ind w:left="92"/>
            </w:pPr>
            <w:r>
              <w:drawing>
                <wp:inline distT="0" distB="0" distL="114300" distR="114300">
                  <wp:extent cx="3685540" cy="1906270"/>
                  <wp:effectExtent l="0" t="0" r="10160" b="1778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3"/>
                          <a:stretch>
                            <a:fillRect/>
                          </a:stretch>
                        </pic:blipFill>
                        <pic:spPr>
                          <a:xfrm>
                            <a:off x="0" y="0"/>
                            <a:ext cx="3685540" cy="1906270"/>
                          </a:xfrm>
                          <a:prstGeom prst="rect">
                            <a:avLst/>
                          </a:prstGeom>
                          <a:noFill/>
                          <a:ln>
                            <a:noFill/>
                          </a:ln>
                        </pic:spPr>
                      </pic:pic>
                    </a:graphicData>
                  </a:graphic>
                </wp:inline>
              </w:drawing>
            </w:r>
          </w:p>
          <w:p w14:paraId="5773A579">
            <w:pPr>
              <w:pStyle w:val="16"/>
              <w:ind w:left="92"/>
            </w:pPr>
          </w:p>
          <w:p w14:paraId="4D49EBF7">
            <w:pPr>
              <w:pStyle w:val="16"/>
              <w:ind w:left="92"/>
            </w:pPr>
            <w:r>
              <w:drawing>
                <wp:inline distT="0" distB="0" distL="114300" distR="114300">
                  <wp:extent cx="3684905" cy="1838325"/>
                  <wp:effectExtent l="0" t="0" r="10795" b="952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4"/>
                          <a:stretch>
                            <a:fillRect/>
                          </a:stretch>
                        </pic:blipFill>
                        <pic:spPr>
                          <a:xfrm>
                            <a:off x="0" y="0"/>
                            <a:ext cx="3684905" cy="1838325"/>
                          </a:xfrm>
                          <a:prstGeom prst="rect">
                            <a:avLst/>
                          </a:prstGeom>
                          <a:noFill/>
                          <a:ln>
                            <a:noFill/>
                          </a:ln>
                        </pic:spPr>
                      </pic:pic>
                    </a:graphicData>
                  </a:graphic>
                </wp:inline>
              </w:drawing>
            </w:r>
          </w:p>
          <w:p w14:paraId="7FEE815F">
            <w:pPr>
              <w:pStyle w:val="16"/>
              <w:ind w:left="92"/>
            </w:pPr>
          </w:p>
          <w:p w14:paraId="24613776">
            <w:pPr>
              <w:pStyle w:val="16"/>
              <w:ind w:left="92"/>
            </w:pPr>
          </w:p>
        </w:tc>
        <w:tc>
          <w:tcPr>
            <w:tcW w:w="4010" w:type="dxa"/>
            <w:tcBorders>
              <w:left w:val="nil"/>
            </w:tcBorders>
            <w:shd w:val="clear" w:color="auto" w:fill="E2EDF5"/>
            <w:vAlign w:val="center"/>
          </w:tcPr>
          <w:p w14:paraId="7CBB2A59">
            <w:pPr>
              <w:pStyle w:val="16"/>
              <w:numPr>
                <w:ilvl w:val="0"/>
                <w:numId w:val="4"/>
              </w:numPr>
              <w:tabs>
                <w:tab w:val="left" w:pos="514"/>
              </w:tabs>
              <w:spacing w:line="223" w:lineRule="auto"/>
              <w:ind w:right="128"/>
              <w:jc w:val="both"/>
              <w:rPr>
                <w:spacing w:val="-2"/>
                <w:sz w:val="21"/>
              </w:rPr>
            </w:pPr>
            <w:r>
              <w:rPr>
                <w:rFonts w:hint="eastAsia"/>
                <w:spacing w:val="-2"/>
                <w:sz w:val="21"/>
              </w:rPr>
              <w:t>符合物料资质时允许报名申请，报名申请时可根据需求上传相应的附件，点击申请即报名完成；</w:t>
            </w:r>
          </w:p>
          <w:p w14:paraId="0AB80690">
            <w:pPr>
              <w:pStyle w:val="16"/>
              <w:numPr>
                <w:ilvl w:val="0"/>
                <w:numId w:val="4"/>
              </w:numPr>
              <w:tabs>
                <w:tab w:val="left" w:pos="514"/>
              </w:tabs>
              <w:spacing w:line="223" w:lineRule="auto"/>
              <w:ind w:right="128"/>
              <w:jc w:val="both"/>
              <w:rPr>
                <w:spacing w:val="-2"/>
                <w:sz w:val="21"/>
              </w:rPr>
            </w:pPr>
            <w:r>
              <w:rPr>
                <w:rFonts w:hint="eastAsia"/>
                <w:spacing w:val="-2"/>
                <w:sz w:val="21"/>
              </w:rPr>
              <w:t>申请成功后，页面会变为状态反馈页面，会有以下情况：</w:t>
            </w:r>
          </w:p>
          <w:p w14:paraId="11F56D3E">
            <w:pPr>
              <w:pStyle w:val="16"/>
              <w:numPr>
                <w:ilvl w:val="0"/>
                <w:numId w:val="5"/>
              </w:numPr>
              <w:tabs>
                <w:tab w:val="left" w:pos="514"/>
              </w:tabs>
              <w:spacing w:line="223" w:lineRule="auto"/>
              <w:ind w:left="91" w:right="128"/>
              <w:jc w:val="both"/>
              <w:rPr>
                <w:spacing w:val="-2"/>
                <w:sz w:val="21"/>
              </w:rPr>
            </w:pPr>
            <w:r>
              <w:rPr>
                <w:rFonts w:hint="eastAsia"/>
                <w:spacing w:val="-2"/>
                <w:sz w:val="21"/>
              </w:rPr>
              <w:t>若报名失败，则可继续申请；</w:t>
            </w:r>
          </w:p>
          <w:p w14:paraId="5C4EFAB1">
            <w:pPr>
              <w:pStyle w:val="16"/>
              <w:numPr>
                <w:ilvl w:val="0"/>
                <w:numId w:val="5"/>
              </w:numPr>
              <w:tabs>
                <w:tab w:val="left" w:pos="514"/>
              </w:tabs>
              <w:spacing w:line="223" w:lineRule="auto"/>
              <w:ind w:left="91" w:right="128"/>
              <w:jc w:val="both"/>
              <w:rPr>
                <w:spacing w:val="-2"/>
                <w:sz w:val="21"/>
              </w:rPr>
            </w:pPr>
            <w:r>
              <w:rPr>
                <w:rFonts w:hint="eastAsia"/>
                <w:spacing w:val="-2"/>
                <w:sz w:val="21"/>
              </w:rPr>
              <w:t>若报名成功，则可等待竞拍开始时间进入报价大厅；</w:t>
            </w:r>
          </w:p>
          <w:p w14:paraId="4E4164BA">
            <w:pPr>
              <w:pStyle w:val="16"/>
              <w:numPr>
                <w:ilvl w:val="0"/>
                <w:numId w:val="4"/>
              </w:numPr>
              <w:tabs>
                <w:tab w:val="left" w:pos="514"/>
              </w:tabs>
              <w:spacing w:line="223" w:lineRule="auto"/>
              <w:ind w:right="128"/>
              <w:jc w:val="both"/>
              <w:rPr>
                <w:spacing w:val="-2"/>
                <w:sz w:val="21"/>
              </w:rPr>
            </w:pPr>
            <w:r>
              <w:rPr>
                <w:rFonts w:hint="eastAsia"/>
                <w:spacing w:val="-2"/>
                <w:sz w:val="21"/>
              </w:rPr>
              <w:t>报名成功后，会自动推送消息到信消息中心内，可在消息中心进入到项目详情页面，点击我要竞拍进入报价大厅入口页。</w:t>
            </w:r>
          </w:p>
          <w:p w14:paraId="622B401A">
            <w:pPr>
              <w:pStyle w:val="16"/>
              <w:tabs>
                <w:tab w:val="left" w:pos="514"/>
              </w:tabs>
              <w:spacing w:line="223" w:lineRule="auto"/>
              <w:ind w:right="128"/>
              <w:jc w:val="both"/>
              <w:rPr>
                <w:spacing w:val="-2"/>
                <w:sz w:val="21"/>
              </w:rPr>
            </w:pPr>
          </w:p>
        </w:tc>
      </w:tr>
    </w:tbl>
    <w:p w14:paraId="5478C037">
      <w:pPr>
        <w:pStyle w:val="16"/>
        <w:spacing w:line="223" w:lineRule="auto"/>
        <w:rPr>
          <w:sz w:val="21"/>
        </w:rPr>
      </w:pPr>
    </w:p>
    <w:p w14:paraId="4C1B4000">
      <w:pPr>
        <w:pStyle w:val="4"/>
        <w:numPr>
          <w:ilvl w:val="2"/>
          <w:numId w:val="1"/>
        </w:numPr>
        <w:sectPr>
          <w:type w:val="continuous"/>
          <w:pgSz w:w="11910" w:h="16840"/>
          <w:pgMar w:top="1920" w:right="141" w:bottom="1500" w:left="1275" w:header="566" w:footer="1302" w:gutter="0"/>
          <w:cols w:space="720" w:num="1"/>
        </w:sectPr>
      </w:pPr>
      <w:bookmarkStart w:id="3" w:name="_Toc22323"/>
      <w:r>
        <w:rPr>
          <w:rFonts w:hint="eastAsia"/>
        </w:rPr>
        <w:t>竞买项目-在线竞价</w:t>
      </w:r>
      <w:bookmarkEnd w:id="3"/>
    </w:p>
    <w:tbl>
      <w:tblPr>
        <w:tblStyle w:val="12"/>
        <w:tblW w:w="0" w:type="auto"/>
        <w:tblCellSpacing w:w="14" w:type="dxa"/>
        <w:tblInd w:w="182" w:type="dxa"/>
        <w:tblLayout w:type="fixed"/>
        <w:tblCellMar>
          <w:top w:w="0" w:type="dxa"/>
          <w:left w:w="0" w:type="dxa"/>
          <w:bottom w:w="0" w:type="dxa"/>
          <w:right w:w="0" w:type="dxa"/>
        </w:tblCellMar>
      </w:tblPr>
      <w:tblGrid>
        <w:gridCol w:w="5858"/>
        <w:gridCol w:w="4024"/>
      </w:tblGrid>
      <w:tr w14:paraId="1D17DF0E">
        <w:tblPrEx>
          <w:tblCellMar>
            <w:top w:w="0" w:type="dxa"/>
            <w:left w:w="0" w:type="dxa"/>
            <w:bottom w:w="0" w:type="dxa"/>
            <w:right w:w="0" w:type="dxa"/>
          </w:tblCellMar>
        </w:tblPrEx>
        <w:trPr>
          <w:trHeight w:val="2079" w:hRule="atLeast"/>
          <w:tblCellSpacing w:w="14" w:type="dxa"/>
        </w:trPr>
        <w:tc>
          <w:tcPr>
            <w:tcW w:w="5816" w:type="dxa"/>
            <w:tcBorders>
              <w:right w:val="nil"/>
            </w:tcBorders>
            <w:shd w:val="clear" w:color="auto" w:fill="E2EDF5"/>
          </w:tcPr>
          <w:p w14:paraId="73D9AA3A">
            <w:pPr>
              <w:pStyle w:val="16"/>
              <w:ind w:left="92"/>
              <w:rPr>
                <w:sz w:val="20"/>
              </w:rPr>
            </w:pPr>
            <w:r>
              <w:drawing>
                <wp:inline distT="0" distB="0" distL="114300" distR="114300">
                  <wp:extent cx="3684905" cy="1696085"/>
                  <wp:effectExtent l="0" t="0" r="10795" b="18415"/>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15"/>
                          <a:stretch>
                            <a:fillRect/>
                          </a:stretch>
                        </pic:blipFill>
                        <pic:spPr>
                          <a:xfrm>
                            <a:off x="0" y="0"/>
                            <a:ext cx="3684905" cy="1696085"/>
                          </a:xfrm>
                          <a:prstGeom prst="rect">
                            <a:avLst/>
                          </a:prstGeom>
                          <a:noFill/>
                          <a:ln>
                            <a:noFill/>
                          </a:ln>
                        </pic:spPr>
                      </pic:pic>
                    </a:graphicData>
                  </a:graphic>
                </wp:inline>
              </w:drawing>
            </w:r>
            <w:r>
              <w:drawing>
                <wp:inline distT="0" distB="0" distL="114300" distR="114300">
                  <wp:extent cx="3689350" cy="1340485"/>
                  <wp:effectExtent l="0" t="0" r="6350" b="1206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16"/>
                          <a:stretch>
                            <a:fillRect/>
                          </a:stretch>
                        </pic:blipFill>
                        <pic:spPr>
                          <a:xfrm>
                            <a:off x="0" y="0"/>
                            <a:ext cx="3689350" cy="1340485"/>
                          </a:xfrm>
                          <a:prstGeom prst="rect">
                            <a:avLst/>
                          </a:prstGeom>
                          <a:noFill/>
                          <a:ln>
                            <a:noFill/>
                          </a:ln>
                        </pic:spPr>
                      </pic:pic>
                    </a:graphicData>
                  </a:graphic>
                </wp:inline>
              </w:drawing>
            </w:r>
          </w:p>
        </w:tc>
        <w:tc>
          <w:tcPr>
            <w:tcW w:w="3982" w:type="dxa"/>
            <w:tcBorders>
              <w:left w:val="nil"/>
            </w:tcBorders>
            <w:shd w:val="clear" w:color="auto" w:fill="E2EDF5"/>
            <w:vAlign w:val="center"/>
          </w:tcPr>
          <w:p w14:paraId="1DC29961">
            <w:pPr>
              <w:pStyle w:val="16"/>
              <w:numPr>
                <w:ilvl w:val="0"/>
                <w:numId w:val="4"/>
              </w:numPr>
              <w:tabs>
                <w:tab w:val="left" w:pos="514"/>
              </w:tabs>
              <w:spacing w:line="223" w:lineRule="auto"/>
              <w:ind w:right="128"/>
              <w:jc w:val="both"/>
              <w:rPr>
                <w:spacing w:val="-2"/>
                <w:sz w:val="21"/>
              </w:rPr>
            </w:pPr>
            <w:r>
              <w:rPr>
                <w:rFonts w:hint="eastAsia"/>
                <w:spacing w:val="-2"/>
                <w:sz w:val="21"/>
              </w:rPr>
              <w:t>报名成功后，会自动推送消息到信消息中心内，可在消息中心进入到项目详情页面，点击我要竞拍进入报价大厅入口页。</w:t>
            </w:r>
          </w:p>
          <w:p w14:paraId="4103037F">
            <w:pPr>
              <w:pStyle w:val="16"/>
              <w:numPr>
                <w:ilvl w:val="0"/>
                <w:numId w:val="4"/>
              </w:numPr>
              <w:tabs>
                <w:tab w:val="left" w:pos="514"/>
              </w:tabs>
              <w:spacing w:line="223" w:lineRule="auto"/>
              <w:ind w:right="128"/>
              <w:jc w:val="both"/>
              <w:rPr>
                <w:sz w:val="21"/>
              </w:rPr>
            </w:pPr>
            <w:r>
              <w:rPr>
                <w:rFonts w:hint="eastAsia"/>
                <w:spacing w:val="-2"/>
                <w:sz w:val="21"/>
              </w:rPr>
              <w:t>也可在竞买列表找到竞买项目，进入到详情页面，点击我要竞拍进入报价大厅入口页。</w:t>
            </w:r>
          </w:p>
        </w:tc>
      </w:tr>
      <w:tr w14:paraId="2F9A74BC">
        <w:tblPrEx>
          <w:tblCellMar>
            <w:top w:w="0" w:type="dxa"/>
            <w:left w:w="0" w:type="dxa"/>
            <w:bottom w:w="0" w:type="dxa"/>
            <w:right w:w="0" w:type="dxa"/>
          </w:tblCellMar>
        </w:tblPrEx>
        <w:trPr>
          <w:trHeight w:val="2079" w:hRule="atLeast"/>
          <w:tblCellSpacing w:w="14" w:type="dxa"/>
        </w:trPr>
        <w:tc>
          <w:tcPr>
            <w:tcW w:w="5816" w:type="dxa"/>
            <w:tcBorders>
              <w:right w:val="nil"/>
            </w:tcBorders>
            <w:shd w:val="clear" w:color="auto" w:fill="E2EDF5"/>
            <w:vAlign w:val="center"/>
          </w:tcPr>
          <w:p w14:paraId="538C14BD">
            <w:pPr>
              <w:pStyle w:val="16"/>
              <w:ind w:left="92"/>
              <w:jc w:val="center"/>
            </w:pPr>
            <w:r>
              <w:drawing>
                <wp:inline distT="0" distB="0" distL="114300" distR="114300">
                  <wp:extent cx="3676015" cy="1809115"/>
                  <wp:effectExtent l="0" t="0" r="635" b="635"/>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17"/>
                          <a:stretch>
                            <a:fillRect/>
                          </a:stretch>
                        </pic:blipFill>
                        <pic:spPr>
                          <a:xfrm>
                            <a:off x="0" y="0"/>
                            <a:ext cx="3676015" cy="1809115"/>
                          </a:xfrm>
                          <a:prstGeom prst="rect">
                            <a:avLst/>
                          </a:prstGeom>
                          <a:noFill/>
                          <a:ln>
                            <a:noFill/>
                          </a:ln>
                        </pic:spPr>
                      </pic:pic>
                    </a:graphicData>
                  </a:graphic>
                </wp:inline>
              </w:drawing>
            </w:r>
            <w:r>
              <w:drawing>
                <wp:inline distT="0" distB="0" distL="114300" distR="114300">
                  <wp:extent cx="3676015" cy="1809115"/>
                  <wp:effectExtent l="0" t="0" r="635" b="63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18"/>
                          <a:stretch>
                            <a:fillRect/>
                          </a:stretch>
                        </pic:blipFill>
                        <pic:spPr>
                          <a:xfrm>
                            <a:off x="0" y="0"/>
                            <a:ext cx="3676015" cy="1809115"/>
                          </a:xfrm>
                          <a:prstGeom prst="rect">
                            <a:avLst/>
                          </a:prstGeom>
                          <a:noFill/>
                          <a:ln>
                            <a:noFill/>
                          </a:ln>
                        </pic:spPr>
                      </pic:pic>
                    </a:graphicData>
                  </a:graphic>
                </wp:inline>
              </w:drawing>
            </w:r>
          </w:p>
        </w:tc>
        <w:tc>
          <w:tcPr>
            <w:tcW w:w="3982" w:type="dxa"/>
            <w:tcBorders>
              <w:left w:val="nil"/>
            </w:tcBorders>
            <w:shd w:val="clear" w:color="auto" w:fill="E2EDF5"/>
            <w:vAlign w:val="center"/>
          </w:tcPr>
          <w:p w14:paraId="49F3587D">
            <w:pPr>
              <w:pStyle w:val="16"/>
              <w:numPr>
                <w:ilvl w:val="0"/>
                <w:numId w:val="4"/>
              </w:numPr>
              <w:tabs>
                <w:tab w:val="left" w:pos="514"/>
              </w:tabs>
              <w:spacing w:line="223" w:lineRule="auto"/>
              <w:ind w:right="128"/>
              <w:jc w:val="center"/>
              <w:rPr>
                <w:spacing w:val="-2"/>
                <w:sz w:val="21"/>
              </w:rPr>
            </w:pPr>
            <w:r>
              <w:rPr>
                <w:rFonts w:hint="eastAsia"/>
                <w:spacing w:val="-2"/>
                <w:sz w:val="21"/>
              </w:rPr>
              <w:t>进入到报价大厅后，可根据此次竞买项目的规则，查看到竞价时间、报价情况等信息，且不同阶段可进行不同操作；</w:t>
            </w:r>
          </w:p>
          <w:p w14:paraId="5A963938">
            <w:pPr>
              <w:pStyle w:val="16"/>
              <w:numPr>
                <w:ilvl w:val="0"/>
                <w:numId w:val="4"/>
              </w:numPr>
              <w:tabs>
                <w:tab w:val="left" w:pos="514"/>
              </w:tabs>
              <w:spacing w:line="223" w:lineRule="auto"/>
              <w:ind w:right="128"/>
              <w:jc w:val="center"/>
              <w:rPr>
                <w:spacing w:val="-2"/>
                <w:sz w:val="21"/>
              </w:rPr>
            </w:pPr>
            <w:r>
              <w:rPr>
                <w:rFonts w:hint="eastAsia"/>
                <w:spacing w:val="-2"/>
                <w:sz w:val="21"/>
              </w:rPr>
              <w:t>试竞价阶段：此阶段可尝试报价、调整税率、调整警戒值操作，此阶段的报价数据与报价次数不会记录在正式竞价信息内（主要是给供应商熟悉系统的过程），在试竞价快结束的10秒前，会弹窗提示供应商确认此次报价税率，等到试竞价结束后就无法更改税率了；</w:t>
            </w:r>
          </w:p>
          <w:p w14:paraId="3939633C">
            <w:pPr>
              <w:pStyle w:val="16"/>
              <w:numPr>
                <w:ilvl w:val="0"/>
                <w:numId w:val="4"/>
              </w:numPr>
              <w:tabs>
                <w:tab w:val="left" w:pos="514"/>
              </w:tabs>
              <w:spacing w:line="223" w:lineRule="auto"/>
              <w:ind w:right="128"/>
              <w:jc w:val="center"/>
              <w:rPr>
                <w:spacing w:val="-2"/>
                <w:sz w:val="21"/>
              </w:rPr>
            </w:pPr>
            <w:r>
              <w:rPr>
                <w:rFonts w:hint="eastAsia"/>
                <w:spacing w:val="-2"/>
                <w:sz w:val="21"/>
              </w:rPr>
              <w:t>竞价中阶段：此时可进行正常报价，输入想要提交的金额，点击“提交报价”按钮，完成报价，提交时需要注意以下几点：</w:t>
            </w:r>
          </w:p>
          <w:p w14:paraId="1B123CE9">
            <w:pPr>
              <w:pStyle w:val="16"/>
              <w:numPr>
                <w:ilvl w:val="0"/>
                <w:numId w:val="6"/>
              </w:numPr>
              <w:tabs>
                <w:tab w:val="left" w:pos="514"/>
              </w:tabs>
              <w:spacing w:line="223" w:lineRule="auto"/>
              <w:ind w:left="440" w:right="128"/>
              <w:jc w:val="center"/>
              <w:rPr>
                <w:spacing w:val="-2"/>
                <w:sz w:val="21"/>
              </w:rPr>
            </w:pPr>
            <w:r>
              <w:rPr>
                <w:rFonts w:hint="eastAsia"/>
                <w:spacing w:val="-2"/>
                <w:sz w:val="21"/>
              </w:rPr>
              <w:t>提交报价的金额不可大于起拍价与当前最低价；</w:t>
            </w:r>
          </w:p>
          <w:p w14:paraId="752B953E">
            <w:pPr>
              <w:pStyle w:val="16"/>
              <w:numPr>
                <w:ilvl w:val="0"/>
                <w:numId w:val="6"/>
              </w:numPr>
              <w:tabs>
                <w:tab w:val="left" w:pos="514"/>
              </w:tabs>
              <w:spacing w:line="223" w:lineRule="auto"/>
              <w:ind w:left="440" w:right="128"/>
              <w:jc w:val="center"/>
              <w:rPr>
                <w:spacing w:val="-2"/>
                <w:sz w:val="21"/>
              </w:rPr>
            </w:pPr>
            <w:r>
              <w:rPr>
                <w:rFonts w:hint="eastAsia"/>
                <w:spacing w:val="-2"/>
                <w:sz w:val="21"/>
              </w:rPr>
              <w:t>提交报价的金额区间不可低于最小调整额度；</w:t>
            </w:r>
          </w:p>
          <w:p w14:paraId="6D9E4119">
            <w:pPr>
              <w:pStyle w:val="16"/>
              <w:numPr>
                <w:ilvl w:val="0"/>
                <w:numId w:val="6"/>
              </w:numPr>
              <w:tabs>
                <w:tab w:val="left" w:pos="514"/>
              </w:tabs>
              <w:spacing w:line="223" w:lineRule="auto"/>
              <w:ind w:left="440" w:right="128"/>
              <w:jc w:val="center"/>
              <w:rPr>
                <w:spacing w:val="-2"/>
                <w:sz w:val="21"/>
              </w:rPr>
            </w:pPr>
            <w:r>
              <w:rPr>
                <w:rFonts w:hint="eastAsia"/>
                <w:spacing w:val="-2"/>
                <w:sz w:val="21"/>
              </w:rPr>
              <w:t>提交报价的金额不可低于警戒值，警戒值可根据自己需求更改，用于辅助作用；</w:t>
            </w:r>
          </w:p>
          <w:p w14:paraId="65BE8705">
            <w:pPr>
              <w:pStyle w:val="16"/>
              <w:numPr>
                <w:ilvl w:val="0"/>
                <w:numId w:val="4"/>
              </w:numPr>
              <w:tabs>
                <w:tab w:val="left" w:pos="514"/>
              </w:tabs>
              <w:spacing w:line="223" w:lineRule="auto"/>
              <w:ind w:right="128"/>
              <w:jc w:val="center"/>
              <w:rPr>
                <w:spacing w:val="-2"/>
                <w:sz w:val="21"/>
              </w:rPr>
            </w:pPr>
            <w:r>
              <w:rPr>
                <w:rFonts w:hint="eastAsia"/>
                <w:spacing w:val="-2"/>
                <w:sz w:val="21"/>
              </w:rPr>
              <w:t>超时竞价阶段：可继续提交报价，等超时竞价阶段结束后，系统会根据最后报价情况给您不同的反馈；</w:t>
            </w:r>
          </w:p>
        </w:tc>
      </w:tr>
      <w:tr w14:paraId="6ECCDC61">
        <w:tblPrEx>
          <w:tblCellMar>
            <w:top w:w="0" w:type="dxa"/>
            <w:left w:w="0" w:type="dxa"/>
            <w:bottom w:w="0" w:type="dxa"/>
            <w:right w:w="0" w:type="dxa"/>
          </w:tblCellMar>
        </w:tblPrEx>
        <w:trPr>
          <w:trHeight w:val="2079" w:hRule="atLeast"/>
          <w:tblCellSpacing w:w="14" w:type="dxa"/>
        </w:trPr>
        <w:tc>
          <w:tcPr>
            <w:tcW w:w="5816" w:type="dxa"/>
            <w:tcBorders>
              <w:right w:val="nil"/>
            </w:tcBorders>
            <w:shd w:val="clear" w:color="auto" w:fill="E2EDF5"/>
          </w:tcPr>
          <w:p w14:paraId="55364769">
            <w:pPr>
              <w:pStyle w:val="16"/>
              <w:ind w:left="92"/>
            </w:pPr>
            <w:r>
              <w:drawing>
                <wp:inline distT="0" distB="0" distL="114300" distR="114300">
                  <wp:extent cx="3691890" cy="1752600"/>
                  <wp:effectExtent l="0" t="0" r="3810" b="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19"/>
                          <a:stretch>
                            <a:fillRect/>
                          </a:stretch>
                        </pic:blipFill>
                        <pic:spPr>
                          <a:xfrm>
                            <a:off x="0" y="0"/>
                            <a:ext cx="3691890" cy="1752600"/>
                          </a:xfrm>
                          <a:prstGeom prst="rect">
                            <a:avLst/>
                          </a:prstGeom>
                          <a:noFill/>
                          <a:ln>
                            <a:noFill/>
                          </a:ln>
                        </pic:spPr>
                      </pic:pic>
                    </a:graphicData>
                  </a:graphic>
                </wp:inline>
              </w:drawing>
            </w:r>
          </w:p>
        </w:tc>
        <w:tc>
          <w:tcPr>
            <w:tcW w:w="3982" w:type="dxa"/>
            <w:tcBorders>
              <w:left w:val="nil"/>
            </w:tcBorders>
            <w:shd w:val="clear" w:color="auto" w:fill="E2EDF5"/>
            <w:vAlign w:val="center"/>
          </w:tcPr>
          <w:p w14:paraId="071B8F6E">
            <w:pPr>
              <w:pStyle w:val="16"/>
              <w:numPr>
                <w:ilvl w:val="0"/>
                <w:numId w:val="4"/>
              </w:numPr>
              <w:tabs>
                <w:tab w:val="left" w:pos="514"/>
              </w:tabs>
              <w:spacing w:line="223" w:lineRule="auto"/>
              <w:ind w:right="128"/>
              <w:jc w:val="both"/>
              <w:rPr>
                <w:spacing w:val="-2"/>
                <w:sz w:val="21"/>
              </w:rPr>
            </w:pPr>
            <w:r>
              <w:rPr>
                <w:rFonts w:hint="eastAsia"/>
                <w:spacing w:val="-2"/>
                <w:sz w:val="21"/>
              </w:rPr>
              <w:t>若中标失败，系统会自动提示反馈“未中标”的信息；</w:t>
            </w:r>
          </w:p>
        </w:tc>
      </w:tr>
      <w:tr w14:paraId="55EBD507">
        <w:tblPrEx>
          <w:tblCellMar>
            <w:top w:w="0" w:type="dxa"/>
            <w:left w:w="0" w:type="dxa"/>
            <w:bottom w:w="0" w:type="dxa"/>
            <w:right w:w="0" w:type="dxa"/>
          </w:tblCellMar>
        </w:tblPrEx>
        <w:trPr>
          <w:trHeight w:val="2079" w:hRule="atLeast"/>
          <w:tblCellSpacing w:w="14" w:type="dxa"/>
        </w:trPr>
        <w:tc>
          <w:tcPr>
            <w:tcW w:w="5816" w:type="dxa"/>
            <w:tcBorders>
              <w:right w:val="nil"/>
            </w:tcBorders>
            <w:shd w:val="clear" w:color="auto" w:fill="E2EDF5"/>
          </w:tcPr>
          <w:p w14:paraId="4EC954EC">
            <w:pPr>
              <w:pStyle w:val="16"/>
              <w:tabs>
                <w:tab w:val="left" w:pos="514"/>
              </w:tabs>
              <w:spacing w:line="223" w:lineRule="auto"/>
              <w:ind w:left="91" w:right="128"/>
              <w:jc w:val="both"/>
              <w:rPr>
                <w:spacing w:val="-2"/>
                <w:sz w:val="21"/>
              </w:rPr>
            </w:pPr>
            <w:r>
              <w:drawing>
                <wp:inline distT="0" distB="0" distL="114300" distR="114300">
                  <wp:extent cx="3692525" cy="1836420"/>
                  <wp:effectExtent l="0" t="0" r="3175" b="11430"/>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20"/>
                          <a:stretch>
                            <a:fillRect/>
                          </a:stretch>
                        </pic:blipFill>
                        <pic:spPr>
                          <a:xfrm>
                            <a:off x="0" y="0"/>
                            <a:ext cx="3692525" cy="1836420"/>
                          </a:xfrm>
                          <a:prstGeom prst="rect">
                            <a:avLst/>
                          </a:prstGeom>
                          <a:noFill/>
                          <a:ln>
                            <a:noFill/>
                          </a:ln>
                        </pic:spPr>
                      </pic:pic>
                    </a:graphicData>
                  </a:graphic>
                </wp:inline>
              </w:drawing>
            </w:r>
          </w:p>
        </w:tc>
        <w:tc>
          <w:tcPr>
            <w:tcW w:w="3982" w:type="dxa"/>
            <w:tcBorders>
              <w:left w:val="nil"/>
            </w:tcBorders>
            <w:shd w:val="clear" w:color="auto" w:fill="E2EDF5"/>
            <w:vAlign w:val="center"/>
          </w:tcPr>
          <w:p w14:paraId="1795D6E4">
            <w:pPr>
              <w:pStyle w:val="16"/>
              <w:numPr>
                <w:ilvl w:val="0"/>
                <w:numId w:val="4"/>
              </w:numPr>
              <w:tabs>
                <w:tab w:val="left" w:pos="514"/>
              </w:tabs>
              <w:spacing w:line="223" w:lineRule="auto"/>
              <w:ind w:right="128"/>
              <w:jc w:val="both"/>
              <w:rPr>
                <w:spacing w:val="-2"/>
                <w:sz w:val="21"/>
              </w:rPr>
            </w:pPr>
            <w:r>
              <w:rPr>
                <w:rFonts w:hint="eastAsia"/>
                <w:spacing w:val="-2"/>
                <w:sz w:val="21"/>
              </w:rPr>
              <w:t>若中标成功，会自动推送确认报价单，填写报价单后点击确认，成功应标；</w:t>
            </w:r>
          </w:p>
        </w:tc>
      </w:tr>
    </w:tbl>
    <w:p w14:paraId="69042DD6"/>
    <w:sectPr>
      <w:type w:val="continuous"/>
      <w:pgSz w:w="11910" w:h="16840"/>
      <w:pgMar w:top="1920" w:right="141" w:bottom="1500" w:left="1275" w:header="566" w:footer="130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56899A">
    <w:pPr>
      <w:pStyle w:val="6"/>
      <w:spacing w:line="14" w:lineRule="auto"/>
      <w:rPr>
        <w:sz w:val="20"/>
      </w:rPr>
    </w:pPr>
    <w:r>
      <w:rPr>
        <w:sz w:val="20"/>
      </w:rPr>
      <mc:AlternateContent>
        <mc:Choice Requires="wps">
          <w:drawing>
            <wp:anchor distT="0" distB="0" distL="0" distR="0" simplePos="0" relativeHeight="251659264" behindDoc="1" locked="0" layoutInCell="1" allowOverlap="1">
              <wp:simplePos x="0" y="0"/>
              <wp:positionH relativeFrom="page">
                <wp:posOffset>3606800</wp:posOffset>
              </wp:positionH>
              <wp:positionV relativeFrom="page">
                <wp:posOffset>9725660</wp:posOffset>
              </wp:positionV>
              <wp:extent cx="260350" cy="137795"/>
              <wp:effectExtent l="0" t="0" r="0" b="0"/>
              <wp:wrapNone/>
              <wp:docPr id="12" name="Textbox 12"/>
              <wp:cNvGraphicFramePr/>
              <a:graphic xmlns:a="http://schemas.openxmlformats.org/drawingml/2006/main">
                <a:graphicData uri="http://schemas.microsoft.com/office/word/2010/wordprocessingShape">
                  <wps:wsp>
                    <wps:cNvSpPr txBox="1"/>
                    <wps:spPr>
                      <a:xfrm>
                        <a:off x="0" y="0"/>
                        <a:ext cx="260350" cy="137795"/>
                      </a:xfrm>
                      <a:prstGeom prst="rect">
                        <a:avLst/>
                      </a:prstGeom>
                    </wps:spPr>
                    <wps:txbx>
                      <w:txbxContent>
                        <w:p w14:paraId="59926064">
                          <w:pPr>
                            <w:spacing w:before="13"/>
                            <w:ind w:left="20"/>
                            <w:rPr>
                              <w:rFonts w:ascii="Arial"/>
                              <w:b/>
                              <w:sz w:val="16"/>
                            </w:rPr>
                          </w:pPr>
                          <w:r>
                            <w:rPr>
                              <w:rFonts w:ascii="Arial"/>
                              <w:b/>
                              <w:sz w:val="16"/>
                            </w:rPr>
                            <w:t>-</w:t>
                          </w:r>
                          <w:r>
                            <w:rPr>
                              <w:rFonts w:ascii="Arial"/>
                              <w:b/>
                              <w:spacing w:val="-4"/>
                              <w:sz w:val="16"/>
                            </w:rPr>
                            <w:t xml:space="preserve"> </w:t>
                          </w:r>
                          <w:r>
                            <w:rPr>
                              <w:rFonts w:ascii="Arial"/>
                              <w:b/>
                              <w:sz w:val="16"/>
                            </w:rPr>
                            <w:fldChar w:fldCharType="begin"/>
                          </w:r>
                          <w:r>
                            <w:rPr>
                              <w:rFonts w:ascii="Arial"/>
                              <w:b/>
                              <w:sz w:val="16"/>
                            </w:rPr>
                            <w:instrText xml:space="preserve"> PAGE </w:instrText>
                          </w:r>
                          <w:r>
                            <w:rPr>
                              <w:rFonts w:ascii="Arial"/>
                              <w:b/>
                              <w:sz w:val="16"/>
                            </w:rPr>
                            <w:fldChar w:fldCharType="separate"/>
                          </w:r>
                          <w:r>
                            <w:rPr>
                              <w:rFonts w:ascii="Arial"/>
                              <w:b/>
                              <w:sz w:val="16"/>
                            </w:rPr>
                            <w:t>10</w:t>
                          </w:r>
                          <w:r>
                            <w:rPr>
                              <w:rFonts w:ascii="Arial"/>
                              <w:b/>
                              <w:sz w:val="16"/>
                            </w:rPr>
                            <w:fldChar w:fldCharType="end"/>
                          </w:r>
                          <w:r>
                            <w:rPr>
                              <w:rFonts w:ascii="Arial"/>
                              <w:b/>
                              <w:sz w:val="16"/>
                            </w:rPr>
                            <w:t xml:space="preserve"> </w:t>
                          </w:r>
                          <w:r>
                            <w:rPr>
                              <w:rFonts w:ascii="Arial"/>
                              <w:b/>
                              <w:spacing w:val="-10"/>
                              <w:sz w:val="16"/>
                            </w:rPr>
                            <w:t>-</w:t>
                          </w:r>
                        </w:p>
                      </w:txbxContent>
                    </wps:txbx>
                    <wps:bodyPr wrap="square" lIns="0" tIns="0" rIns="0" bIns="0" rtlCol="0">
                      <a:noAutofit/>
                    </wps:bodyPr>
                  </wps:wsp>
                </a:graphicData>
              </a:graphic>
            </wp:anchor>
          </w:drawing>
        </mc:Choice>
        <mc:Fallback>
          <w:pict>
            <v:shape id="Textbox 12" o:spid="_x0000_s1026" o:spt="202" type="#_x0000_t202" style="position:absolute;left:0pt;margin-left:284pt;margin-top:765.8pt;height:10.85pt;width:20.5pt;mso-position-horizontal-relative:page;mso-position-vertical-relative:page;z-index:-251657216;mso-width-relative:page;mso-height-relative:page;" filled="f" stroked="f" coordsize="21600,21600" o:gfxdata="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ELNM8LaAAAADQEAAA8AAAAAAAAAAQAgAAAAIgAAAGRycy9kb3ducmV2LnhtbFBLAQIUABQAAAAI&#10;AIdO4kCXOTKTsgEAAHUDAAAOAAAAAAAAAAEAIAAAACkBAABkcnMvZTJvRG9jLnhtbFBLBQYAAAAA&#10;BgAGAFkBAABNBQAAAAA=&#10;">
              <v:fill on="f" focussize="0,0"/>
              <v:stroke on="f"/>
              <v:imagedata o:title=""/>
              <o:lock v:ext="edit" aspectratio="f"/>
              <v:textbox inset="0mm,0mm,0mm,0mm">
                <w:txbxContent>
                  <w:p w14:paraId="59926064">
                    <w:pPr>
                      <w:spacing w:before="13"/>
                      <w:ind w:left="20"/>
                      <w:rPr>
                        <w:rFonts w:ascii="Arial"/>
                        <w:b/>
                        <w:sz w:val="16"/>
                      </w:rPr>
                    </w:pPr>
                    <w:r>
                      <w:rPr>
                        <w:rFonts w:ascii="Arial"/>
                        <w:b/>
                        <w:sz w:val="16"/>
                      </w:rPr>
                      <w:t>-</w:t>
                    </w:r>
                    <w:r>
                      <w:rPr>
                        <w:rFonts w:ascii="Arial"/>
                        <w:b/>
                        <w:spacing w:val="-4"/>
                        <w:sz w:val="16"/>
                      </w:rPr>
                      <w:t xml:space="preserve"> </w:t>
                    </w:r>
                    <w:r>
                      <w:rPr>
                        <w:rFonts w:ascii="Arial"/>
                        <w:b/>
                        <w:sz w:val="16"/>
                      </w:rPr>
                      <w:fldChar w:fldCharType="begin"/>
                    </w:r>
                    <w:r>
                      <w:rPr>
                        <w:rFonts w:ascii="Arial"/>
                        <w:b/>
                        <w:sz w:val="16"/>
                      </w:rPr>
                      <w:instrText xml:space="preserve"> PAGE </w:instrText>
                    </w:r>
                    <w:r>
                      <w:rPr>
                        <w:rFonts w:ascii="Arial"/>
                        <w:b/>
                        <w:sz w:val="16"/>
                      </w:rPr>
                      <w:fldChar w:fldCharType="separate"/>
                    </w:r>
                    <w:r>
                      <w:rPr>
                        <w:rFonts w:ascii="Arial"/>
                        <w:b/>
                        <w:sz w:val="16"/>
                      </w:rPr>
                      <w:t>10</w:t>
                    </w:r>
                    <w:r>
                      <w:rPr>
                        <w:rFonts w:ascii="Arial"/>
                        <w:b/>
                        <w:sz w:val="16"/>
                      </w:rPr>
                      <w:fldChar w:fldCharType="end"/>
                    </w:r>
                    <w:r>
                      <w:rPr>
                        <w:rFonts w:ascii="Arial"/>
                        <w:b/>
                        <w:sz w:val="16"/>
                      </w:rPr>
                      <w:t xml:space="preserve"> </w:t>
                    </w:r>
                    <w:r>
                      <w:rPr>
                        <w:rFonts w:ascii="Arial"/>
                        <w:b/>
                        <w:spacing w:val="-10"/>
                        <w:sz w:val="16"/>
                      </w:rPr>
                      <w:t>-</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0FFDFB">
    <w:pPr>
      <w:pStyle w:val="6"/>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0A931"/>
    <w:multiLevelType w:val="multilevel"/>
    <w:tmpl w:val="9190A931"/>
    <w:lvl w:ilvl="0" w:tentative="0">
      <w:start w:val="0"/>
      <w:numFmt w:val="bullet"/>
      <w:lvlText w:val=""/>
      <w:lvlJc w:val="left"/>
      <w:pPr>
        <w:ind w:left="514" w:hanging="423"/>
      </w:pPr>
      <w:rPr>
        <w:rFonts w:hint="default" w:ascii="Wingdings" w:hAnsi="Wingdings" w:eastAsia="Wingdings" w:cs="Wingdings"/>
        <w:b w:val="0"/>
        <w:bCs w:val="0"/>
        <w:i w:val="0"/>
        <w:iCs w:val="0"/>
        <w:spacing w:val="0"/>
        <w:w w:val="100"/>
        <w:sz w:val="21"/>
        <w:szCs w:val="21"/>
        <w:lang w:val="en-US" w:eastAsia="zh-CN" w:bidi="ar-SA"/>
      </w:rPr>
    </w:lvl>
    <w:lvl w:ilvl="1" w:tentative="0">
      <w:start w:val="0"/>
      <w:numFmt w:val="bullet"/>
      <w:lvlText w:val="•"/>
      <w:lvlJc w:val="left"/>
      <w:pPr>
        <w:ind w:left="860" w:hanging="423"/>
      </w:pPr>
      <w:rPr>
        <w:rFonts w:hint="default"/>
        <w:lang w:val="en-US" w:eastAsia="zh-CN" w:bidi="ar-SA"/>
      </w:rPr>
    </w:lvl>
    <w:lvl w:ilvl="2" w:tentative="0">
      <w:start w:val="0"/>
      <w:numFmt w:val="bullet"/>
      <w:lvlText w:val="•"/>
      <w:lvlJc w:val="left"/>
      <w:pPr>
        <w:ind w:left="1201" w:hanging="423"/>
      </w:pPr>
      <w:rPr>
        <w:rFonts w:hint="default"/>
        <w:lang w:val="en-US" w:eastAsia="zh-CN" w:bidi="ar-SA"/>
      </w:rPr>
    </w:lvl>
    <w:lvl w:ilvl="3" w:tentative="0">
      <w:start w:val="0"/>
      <w:numFmt w:val="bullet"/>
      <w:lvlText w:val="•"/>
      <w:lvlJc w:val="left"/>
      <w:pPr>
        <w:ind w:left="1542" w:hanging="423"/>
      </w:pPr>
      <w:rPr>
        <w:rFonts w:hint="default"/>
        <w:lang w:val="en-US" w:eastAsia="zh-CN" w:bidi="ar-SA"/>
      </w:rPr>
    </w:lvl>
    <w:lvl w:ilvl="4" w:tentative="0">
      <w:start w:val="0"/>
      <w:numFmt w:val="bullet"/>
      <w:lvlText w:val="•"/>
      <w:lvlJc w:val="left"/>
      <w:pPr>
        <w:ind w:left="1883" w:hanging="423"/>
      </w:pPr>
      <w:rPr>
        <w:rFonts w:hint="default"/>
        <w:lang w:val="en-US" w:eastAsia="zh-CN" w:bidi="ar-SA"/>
      </w:rPr>
    </w:lvl>
    <w:lvl w:ilvl="5" w:tentative="0">
      <w:start w:val="0"/>
      <w:numFmt w:val="bullet"/>
      <w:lvlText w:val="•"/>
      <w:lvlJc w:val="left"/>
      <w:pPr>
        <w:ind w:left="2224" w:hanging="423"/>
      </w:pPr>
      <w:rPr>
        <w:rFonts w:hint="default"/>
        <w:lang w:val="en-US" w:eastAsia="zh-CN" w:bidi="ar-SA"/>
      </w:rPr>
    </w:lvl>
    <w:lvl w:ilvl="6" w:tentative="0">
      <w:start w:val="0"/>
      <w:numFmt w:val="bullet"/>
      <w:lvlText w:val="•"/>
      <w:lvlJc w:val="left"/>
      <w:pPr>
        <w:ind w:left="2564" w:hanging="423"/>
      </w:pPr>
      <w:rPr>
        <w:rFonts w:hint="default"/>
        <w:lang w:val="en-US" w:eastAsia="zh-CN" w:bidi="ar-SA"/>
      </w:rPr>
    </w:lvl>
    <w:lvl w:ilvl="7" w:tentative="0">
      <w:start w:val="0"/>
      <w:numFmt w:val="bullet"/>
      <w:lvlText w:val="•"/>
      <w:lvlJc w:val="left"/>
      <w:pPr>
        <w:ind w:left="2905" w:hanging="423"/>
      </w:pPr>
      <w:rPr>
        <w:rFonts w:hint="default"/>
        <w:lang w:val="en-US" w:eastAsia="zh-CN" w:bidi="ar-SA"/>
      </w:rPr>
    </w:lvl>
    <w:lvl w:ilvl="8" w:tentative="0">
      <w:start w:val="0"/>
      <w:numFmt w:val="bullet"/>
      <w:lvlText w:val="•"/>
      <w:lvlJc w:val="left"/>
      <w:pPr>
        <w:ind w:left="3246" w:hanging="423"/>
      </w:pPr>
      <w:rPr>
        <w:rFonts w:hint="default"/>
        <w:lang w:val="en-US" w:eastAsia="zh-CN" w:bidi="ar-SA"/>
      </w:rPr>
    </w:lvl>
  </w:abstractNum>
  <w:abstractNum w:abstractNumId="1">
    <w:nsid w:val="946F93E5"/>
    <w:multiLevelType w:val="singleLevel"/>
    <w:tmpl w:val="946F93E5"/>
    <w:lvl w:ilvl="0" w:tentative="0">
      <w:start w:val="1"/>
      <w:numFmt w:val="decimal"/>
      <w:suff w:val="nothing"/>
      <w:lvlText w:val="（%1）"/>
      <w:lvlJc w:val="left"/>
    </w:lvl>
  </w:abstractNum>
  <w:abstractNum w:abstractNumId="2">
    <w:nsid w:val="9BEC3345"/>
    <w:multiLevelType w:val="singleLevel"/>
    <w:tmpl w:val="9BEC3345"/>
    <w:lvl w:ilvl="0" w:tentative="0">
      <w:start w:val="1"/>
      <w:numFmt w:val="decimal"/>
      <w:suff w:val="nothing"/>
      <w:lvlText w:val="（%1）"/>
      <w:lvlJc w:val="left"/>
      <w:pPr>
        <w:ind w:left="349"/>
      </w:pPr>
    </w:lvl>
  </w:abstractNum>
  <w:abstractNum w:abstractNumId="3">
    <w:nsid w:val="C3655F54"/>
    <w:multiLevelType w:val="multilevel"/>
    <w:tmpl w:val="C3655F54"/>
    <w:lvl w:ilvl="0" w:tentative="0">
      <w:start w:val="0"/>
      <w:numFmt w:val="bullet"/>
      <w:lvlText w:val=""/>
      <w:lvlJc w:val="left"/>
      <w:pPr>
        <w:ind w:left="514" w:hanging="423"/>
      </w:pPr>
      <w:rPr>
        <w:rFonts w:hint="default" w:ascii="Wingdings" w:hAnsi="Wingdings" w:eastAsia="Wingdings" w:cs="Wingdings"/>
        <w:b w:val="0"/>
        <w:bCs w:val="0"/>
        <w:i w:val="0"/>
        <w:iCs w:val="0"/>
        <w:spacing w:val="0"/>
        <w:w w:val="100"/>
        <w:sz w:val="21"/>
        <w:szCs w:val="21"/>
        <w:lang w:val="en-US" w:eastAsia="zh-CN" w:bidi="ar-SA"/>
      </w:rPr>
    </w:lvl>
    <w:lvl w:ilvl="1" w:tentative="0">
      <w:start w:val="0"/>
      <w:numFmt w:val="bullet"/>
      <w:lvlText w:val="•"/>
      <w:lvlJc w:val="left"/>
      <w:pPr>
        <w:ind w:left="868" w:hanging="423"/>
      </w:pPr>
      <w:rPr>
        <w:rFonts w:hint="default"/>
        <w:lang w:val="en-US" w:eastAsia="zh-CN" w:bidi="ar-SA"/>
      </w:rPr>
    </w:lvl>
    <w:lvl w:ilvl="2" w:tentative="0">
      <w:start w:val="0"/>
      <w:numFmt w:val="bullet"/>
      <w:lvlText w:val="•"/>
      <w:lvlJc w:val="left"/>
      <w:pPr>
        <w:ind w:left="1217" w:hanging="423"/>
      </w:pPr>
      <w:rPr>
        <w:rFonts w:hint="default"/>
        <w:lang w:val="en-US" w:eastAsia="zh-CN" w:bidi="ar-SA"/>
      </w:rPr>
    </w:lvl>
    <w:lvl w:ilvl="3" w:tentative="0">
      <w:start w:val="0"/>
      <w:numFmt w:val="bullet"/>
      <w:lvlText w:val="•"/>
      <w:lvlJc w:val="left"/>
      <w:pPr>
        <w:ind w:left="1566" w:hanging="423"/>
      </w:pPr>
      <w:rPr>
        <w:rFonts w:hint="default"/>
        <w:lang w:val="en-US" w:eastAsia="zh-CN" w:bidi="ar-SA"/>
      </w:rPr>
    </w:lvl>
    <w:lvl w:ilvl="4" w:tentative="0">
      <w:start w:val="0"/>
      <w:numFmt w:val="bullet"/>
      <w:lvlText w:val="•"/>
      <w:lvlJc w:val="left"/>
      <w:pPr>
        <w:ind w:left="1915" w:hanging="423"/>
      </w:pPr>
      <w:rPr>
        <w:rFonts w:hint="default"/>
        <w:lang w:val="en-US" w:eastAsia="zh-CN" w:bidi="ar-SA"/>
      </w:rPr>
    </w:lvl>
    <w:lvl w:ilvl="5" w:tentative="0">
      <w:start w:val="0"/>
      <w:numFmt w:val="bullet"/>
      <w:lvlText w:val="•"/>
      <w:lvlJc w:val="left"/>
      <w:pPr>
        <w:ind w:left="2264" w:hanging="423"/>
      </w:pPr>
      <w:rPr>
        <w:rFonts w:hint="default"/>
        <w:lang w:val="en-US" w:eastAsia="zh-CN" w:bidi="ar-SA"/>
      </w:rPr>
    </w:lvl>
    <w:lvl w:ilvl="6" w:tentative="0">
      <w:start w:val="0"/>
      <w:numFmt w:val="bullet"/>
      <w:lvlText w:val="•"/>
      <w:lvlJc w:val="left"/>
      <w:pPr>
        <w:ind w:left="2613" w:hanging="423"/>
      </w:pPr>
      <w:rPr>
        <w:rFonts w:hint="default"/>
        <w:lang w:val="en-US" w:eastAsia="zh-CN" w:bidi="ar-SA"/>
      </w:rPr>
    </w:lvl>
    <w:lvl w:ilvl="7" w:tentative="0">
      <w:start w:val="0"/>
      <w:numFmt w:val="bullet"/>
      <w:lvlText w:val="•"/>
      <w:lvlJc w:val="left"/>
      <w:pPr>
        <w:ind w:left="2962" w:hanging="423"/>
      </w:pPr>
      <w:rPr>
        <w:rFonts w:hint="default"/>
        <w:lang w:val="en-US" w:eastAsia="zh-CN" w:bidi="ar-SA"/>
      </w:rPr>
    </w:lvl>
    <w:lvl w:ilvl="8" w:tentative="0">
      <w:start w:val="0"/>
      <w:numFmt w:val="bullet"/>
      <w:lvlText w:val="•"/>
      <w:lvlJc w:val="left"/>
      <w:pPr>
        <w:ind w:left="3311" w:hanging="423"/>
      </w:pPr>
      <w:rPr>
        <w:rFonts w:hint="default"/>
        <w:lang w:val="en-US" w:eastAsia="zh-CN" w:bidi="ar-SA"/>
      </w:rPr>
    </w:lvl>
  </w:abstractNum>
  <w:abstractNum w:abstractNumId="4">
    <w:nsid w:val="E7AABEB8"/>
    <w:multiLevelType w:val="multilevel"/>
    <w:tmpl w:val="E7AABEB8"/>
    <w:lvl w:ilvl="0" w:tentative="0">
      <w:start w:val="0"/>
      <w:numFmt w:val="bullet"/>
      <w:lvlText w:val=""/>
      <w:lvlJc w:val="left"/>
      <w:pPr>
        <w:ind w:left="511" w:hanging="423"/>
      </w:pPr>
      <w:rPr>
        <w:rFonts w:hint="default" w:ascii="Wingdings" w:hAnsi="Wingdings" w:eastAsia="Wingdings" w:cs="Wingdings"/>
        <w:b w:val="0"/>
        <w:bCs w:val="0"/>
        <w:i w:val="0"/>
        <w:iCs w:val="0"/>
        <w:spacing w:val="0"/>
        <w:w w:val="100"/>
        <w:sz w:val="21"/>
        <w:szCs w:val="21"/>
        <w:lang w:val="en-US" w:eastAsia="zh-CN" w:bidi="ar-SA"/>
      </w:rPr>
    </w:lvl>
    <w:lvl w:ilvl="1" w:tentative="0">
      <w:start w:val="0"/>
      <w:numFmt w:val="bullet"/>
      <w:lvlText w:val="•"/>
      <w:lvlJc w:val="left"/>
      <w:pPr>
        <w:ind w:left="860" w:hanging="423"/>
      </w:pPr>
      <w:rPr>
        <w:rFonts w:hint="default"/>
        <w:lang w:val="en-US" w:eastAsia="zh-CN" w:bidi="ar-SA"/>
      </w:rPr>
    </w:lvl>
    <w:lvl w:ilvl="2" w:tentative="0">
      <w:start w:val="0"/>
      <w:numFmt w:val="bullet"/>
      <w:lvlText w:val="•"/>
      <w:lvlJc w:val="left"/>
      <w:pPr>
        <w:ind w:left="1201" w:hanging="423"/>
      </w:pPr>
      <w:rPr>
        <w:rFonts w:hint="default"/>
        <w:lang w:val="en-US" w:eastAsia="zh-CN" w:bidi="ar-SA"/>
      </w:rPr>
    </w:lvl>
    <w:lvl w:ilvl="3" w:tentative="0">
      <w:start w:val="0"/>
      <w:numFmt w:val="bullet"/>
      <w:lvlText w:val="•"/>
      <w:lvlJc w:val="left"/>
      <w:pPr>
        <w:ind w:left="1542" w:hanging="423"/>
      </w:pPr>
      <w:rPr>
        <w:rFonts w:hint="default"/>
        <w:lang w:val="en-US" w:eastAsia="zh-CN" w:bidi="ar-SA"/>
      </w:rPr>
    </w:lvl>
    <w:lvl w:ilvl="4" w:tentative="0">
      <w:start w:val="0"/>
      <w:numFmt w:val="bullet"/>
      <w:lvlText w:val="•"/>
      <w:lvlJc w:val="left"/>
      <w:pPr>
        <w:ind w:left="1883" w:hanging="423"/>
      </w:pPr>
      <w:rPr>
        <w:rFonts w:hint="default"/>
        <w:lang w:val="en-US" w:eastAsia="zh-CN" w:bidi="ar-SA"/>
      </w:rPr>
    </w:lvl>
    <w:lvl w:ilvl="5" w:tentative="0">
      <w:start w:val="0"/>
      <w:numFmt w:val="bullet"/>
      <w:lvlText w:val="•"/>
      <w:lvlJc w:val="left"/>
      <w:pPr>
        <w:ind w:left="2224" w:hanging="423"/>
      </w:pPr>
      <w:rPr>
        <w:rFonts w:hint="default"/>
        <w:lang w:val="en-US" w:eastAsia="zh-CN" w:bidi="ar-SA"/>
      </w:rPr>
    </w:lvl>
    <w:lvl w:ilvl="6" w:tentative="0">
      <w:start w:val="0"/>
      <w:numFmt w:val="bullet"/>
      <w:lvlText w:val="•"/>
      <w:lvlJc w:val="left"/>
      <w:pPr>
        <w:ind w:left="2564" w:hanging="423"/>
      </w:pPr>
      <w:rPr>
        <w:rFonts w:hint="default"/>
        <w:lang w:val="en-US" w:eastAsia="zh-CN" w:bidi="ar-SA"/>
      </w:rPr>
    </w:lvl>
    <w:lvl w:ilvl="7" w:tentative="0">
      <w:start w:val="0"/>
      <w:numFmt w:val="bullet"/>
      <w:lvlText w:val="•"/>
      <w:lvlJc w:val="left"/>
      <w:pPr>
        <w:ind w:left="2905" w:hanging="423"/>
      </w:pPr>
      <w:rPr>
        <w:rFonts w:hint="default"/>
        <w:lang w:val="en-US" w:eastAsia="zh-CN" w:bidi="ar-SA"/>
      </w:rPr>
    </w:lvl>
    <w:lvl w:ilvl="8" w:tentative="0">
      <w:start w:val="0"/>
      <w:numFmt w:val="bullet"/>
      <w:lvlText w:val="•"/>
      <w:lvlJc w:val="left"/>
      <w:pPr>
        <w:ind w:left="3246" w:hanging="423"/>
      </w:pPr>
      <w:rPr>
        <w:rFonts w:hint="default"/>
        <w:lang w:val="en-US" w:eastAsia="zh-CN" w:bidi="ar-SA"/>
      </w:rPr>
    </w:lvl>
  </w:abstractNum>
  <w:abstractNum w:abstractNumId="5">
    <w:nsid w:val="1EC1DDCF"/>
    <w:multiLevelType w:val="multilevel"/>
    <w:tmpl w:val="1EC1DDCF"/>
    <w:lvl w:ilvl="0" w:tentative="0">
      <w:start w:val="1"/>
      <w:numFmt w:val="decimal"/>
      <w:lvlText w:val="%1."/>
      <w:lvlJc w:val="left"/>
      <w:pPr>
        <w:ind w:left="1558" w:hanging="989"/>
        <w:jc w:val="left"/>
      </w:pPr>
      <w:rPr>
        <w:rFonts w:hint="default" w:ascii="微软雅黑" w:hAnsi="微软雅黑" w:eastAsia="微软雅黑" w:cs="微软雅黑"/>
        <w:b/>
        <w:bCs/>
        <w:i w:val="0"/>
        <w:iCs w:val="0"/>
        <w:color w:val="086A74"/>
        <w:spacing w:val="-2"/>
        <w:w w:val="100"/>
        <w:sz w:val="36"/>
        <w:szCs w:val="36"/>
        <w:lang w:val="en-US" w:eastAsia="zh-CN" w:bidi="ar-SA"/>
      </w:rPr>
    </w:lvl>
    <w:lvl w:ilvl="1" w:tentative="0">
      <w:start w:val="1"/>
      <w:numFmt w:val="decimal"/>
      <w:suff w:val="nothing"/>
      <w:lvlText w:val="%1.%2."/>
      <w:lvlJc w:val="left"/>
      <w:pPr>
        <w:ind w:left="1558" w:hanging="1057"/>
        <w:jc w:val="left"/>
      </w:pPr>
      <w:rPr>
        <w:rFonts w:hint="default" w:ascii="微软雅黑" w:hAnsi="微软雅黑" w:eastAsia="微软雅黑" w:cs="微软雅黑"/>
        <w:b/>
        <w:bCs/>
        <w:i w:val="0"/>
        <w:iCs w:val="0"/>
        <w:color w:val="7D6C58"/>
        <w:spacing w:val="-3"/>
        <w:w w:val="100"/>
        <w:sz w:val="32"/>
        <w:szCs w:val="32"/>
        <w:lang w:val="en-US" w:eastAsia="zh-CN" w:bidi="ar-SA"/>
      </w:rPr>
    </w:lvl>
    <w:lvl w:ilvl="2" w:tentative="0">
      <w:start w:val="1"/>
      <w:numFmt w:val="decimal"/>
      <w:lvlText w:val="%1.%2.%3"/>
      <w:lvlJc w:val="left"/>
      <w:pPr>
        <w:ind w:left="1586" w:hanging="706"/>
        <w:jc w:val="left"/>
      </w:pPr>
      <w:rPr>
        <w:rFonts w:hint="default" w:ascii="微软雅黑" w:hAnsi="微软雅黑" w:eastAsia="微软雅黑" w:cs="微软雅黑"/>
        <w:b w:val="0"/>
        <w:bCs w:val="0"/>
        <w:i w:val="0"/>
        <w:iCs w:val="0"/>
        <w:spacing w:val="-1"/>
        <w:w w:val="99"/>
        <w:sz w:val="28"/>
        <w:szCs w:val="28"/>
        <w:lang w:val="en-US" w:eastAsia="zh-CN" w:bidi="ar-SA"/>
      </w:rPr>
    </w:lvl>
    <w:lvl w:ilvl="3" w:tentative="0">
      <w:start w:val="0"/>
      <w:numFmt w:val="bullet"/>
      <w:lvlText w:val=""/>
      <w:lvlJc w:val="left"/>
      <w:pPr>
        <w:ind w:left="6547" w:hanging="423"/>
      </w:pPr>
      <w:rPr>
        <w:rFonts w:hint="default" w:ascii="Wingdings" w:hAnsi="Wingdings" w:eastAsia="Wingdings" w:cs="Wingdings"/>
        <w:spacing w:val="0"/>
        <w:w w:val="100"/>
        <w:lang w:val="en-US" w:eastAsia="zh-CN" w:bidi="ar-SA"/>
      </w:rPr>
    </w:lvl>
    <w:lvl w:ilvl="4" w:tentative="0">
      <w:start w:val="0"/>
      <w:numFmt w:val="bullet"/>
      <w:lvlText w:val="•"/>
      <w:lvlJc w:val="left"/>
      <w:pPr>
        <w:ind w:left="7528" w:hanging="423"/>
      </w:pPr>
      <w:rPr>
        <w:rFonts w:hint="default"/>
        <w:lang w:val="en-US" w:eastAsia="zh-CN" w:bidi="ar-SA"/>
      </w:rPr>
    </w:lvl>
    <w:lvl w:ilvl="5" w:tentative="0">
      <w:start w:val="0"/>
      <w:numFmt w:val="bullet"/>
      <w:lvlText w:val="•"/>
      <w:lvlJc w:val="left"/>
      <w:pPr>
        <w:ind w:left="8022" w:hanging="423"/>
      </w:pPr>
      <w:rPr>
        <w:rFonts w:hint="default"/>
        <w:lang w:val="en-US" w:eastAsia="zh-CN" w:bidi="ar-SA"/>
      </w:rPr>
    </w:lvl>
    <w:lvl w:ilvl="6" w:tentative="0">
      <w:start w:val="0"/>
      <w:numFmt w:val="bullet"/>
      <w:lvlText w:val="•"/>
      <w:lvlJc w:val="left"/>
      <w:pPr>
        <w:ind w:left="8516" w:hanging="423"/>
      </w:pPr>
      <w:rPr>
        <w:rFonts w:hint="default"/>
        <w:lang w:val="en-US" w:eastAsia="zh-CN" w:bidi="ar-SA"/>
      </w:rPr>
    </w:lvl>
    <w:lvl w:ilvl="7" w:tentative="0">
      <w:start w:val="0"/>
      <w:numFmt w:val="bullet"/>
      <w:lvlText w:val="•"/>
      <w:lvlJc w:val="left"/>
      <w:pPr>
        <w:ind w:left="9010" w:hanging="423"/>
      </w:pPr>
      <w:rPr>
        <w:rFonts w:hint="default"/>
        <w:lang w:val="en-US" w:eastAsia="zh-CN" w:bidi="ar-SA"/>
      </w:rPr>
    </w:lvl>
    <w:lvl w:ilvl="8" w:tentative="0">
      <w:start w:val="0"/>
      <w:numFmt w:val="bullet"/>
      <w:lvlText w:val="•"/>
      <w:lvlJc w:val="left"/>
      <w:pPr>
        <w:ind w:left="9504" w:hanging="423"/>
      </w:pPr>
      <w:rPr>
        <w:rFonts w:hint="default"/>
        <w:lang w:val="en-US" w:eastAsia="zh-CN" w:bidi="ar-SA"/>
      </w:rPr>
    </w:lvl>
  </w:abstractNum>
  <w:num w:numId="1">
    <w:abstractNumId w:val="5"/>
  </w:num>
  <w:num w:numId="2">
    <w:abstractNumId w:val="0"/>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documentProtection w:enforcement="0"/>
  <w:defaultTabStop w:val="720"/>
  <w:drawingGridHorizontalSpacing w:val="110"/>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4"/>
  </w:compat>
  <w:rsids>
    <w:rsidRoot w:val="00B511D6"/>
    <w:rsid w:val="00062F8F"/>
    <w:rsid w:val="00576EC6"/>
    <w:rsid w:val="00B511D6"/>
    <w:rsid w:val="00EF1C32"/>
    <w:rsid w:val="08090C44"/>
    <w:rsid w:val="09EA07A8"/>
    <w:rsid w:val="28441EC0"/>
    <w:rsid w:val="2A7E14A0"/>
    <w:rsid w:val="32AB3A77"/>
    <w:rsid w:val="4C7E61AF"/>
    <w:rsid w:val="5DFE5C52"/>
    <w:rsid w:val="67746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1"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微软雅黑" w:hAnsi="微软雅黑" w:eastAsia="微软雅黑" w:cs="微软雅黑"/>
      <w:sz w:val="22"/>
      <w:szCs w:val="22"/>
      <w:lang w:val="en-US" w:eastAsia="zh-CN" w:bidi="ar-SA"/>
    </w:rPr>
  </w:style>
  <w:style w:type="paragraph" w:styleId="2">
    <w:name w:val="heading 1"/>
    <w:basedOn w:val="1"/>
    <w:qFormat/>
    <w:uiPriority w:val="1"/>
    <w:pPr>
      <w:spacing w:before="54"/>
      <w:ind w:left="165"/>
      <w:outlineLvl w:val="0"/>
    </w:pPr>
    <w:rPr>
      <w:b/>
      <w:bCs/>
      <w:sz w:val="36"/>
      <w:szCs w:val="36"/>
    </w:rPr>
  </w:style>
  <w:style w:type="paragraph" w:styleId="3">
    <w:name w:val="heading 2"/>
    <w:basedOn w:val="1"/>
    <w:qFormat/>
    <w:uiPriority w:val="1"/>
    <w:pPr>
      <w:spacing w:before="229"/>
      <w:ind w:left="1557" w:hanging="1056"/>
      <w:outlineLvl w:val="1"/>
    </w:pPr>
    <w:rPr>
      <w:b/>
      <w:bCs/>
      <w:sz w:val="32"/>
      <w:szCs w:val="32"/>
    </w:rPr>
  </w:style>
  <w:style w:type="paragraph" w:styleId="4">
    <w:name w:val="heading 3"/>
    <w:basedOn w:val="1"/>
    <w:qFormat/>
    <w:uiPriority w:val="1"/>
    <w:pPr>
      <w:spacing w:before="69"/>
      <w:ind w:left="691" w:hanging="701"/>
      <w:outlineLvl w:val="2"/>
    </w:pPr>
    <w:rPr>
      <w:sz w:val="28"/>
      <w:szCs w:val="28"/>
    </w:rPr>
  </w:style>
  <w:style w:type="paragraph" w:styleId="5">
    <w:name w:val="heading 4"/>
    <w:basedOn w:val="1"/>
    <w:qFormat/>
    <w:uiPriority w:val="1"/>
    <w:pPr>
      <w:spacing w:before="1" w:line="431" w:lineRule="exact"/>
      <w:ind w:left="6124"/>
      <w:outlineLvl w:val="3"/>
    </w:pPr>
    <w:rPr>
      <w:sz w:val="24"/>
      <w:szCs w:val="24"/>
    </w:rPr>
  </w:style>
  <w:style w:type="character" w:default="1" w:styleId="13">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Body Text"/>
    <w:basedOn w:val="1"/>
    <w:qFormat/>
    <w:uiPriority w:val="1"/>
    <w:rPr>
      <w:sz w:val="21"/>
      <w:szCs w:val="21"/>
    </w:rPr>
  </w:style>
  <w:style w:type="paragraph" w:styleId="7">
    <w:name w:val="toc 3"/>
    <w:basedOn w:val="1"/>
    <w:qFormat/>
    <w:uiPriority w:val="1"/>
    <w:pPr>
      <w:spacing w:before="16"/>
      <w:ind w:left="1116" w:hanging="504"/>
    </w:pPr>
    <w:rPr>
      <w:sz w:val="20"/>
      <w:szCs w:val="20"/>
    </w:rPr>
  </w:style>
  <w:style w:type="paragraph" w:styleId="8">
    <w:name w:val="footer"/>
    <w:basedOn w:val="1"/>
    <w:qFormat/>
    <w:uiPriority w:val="0"/>
    <w:pPr>
      <w:tabs>
        <w:tab w:val="center" w:pos="4153"/>
        <w:tab w:val="right" w:pos="8306"/>
      </w:tabs>
      <w:snapToGrid w:val="0"/>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10">
    <w:name w:val="toc 1"/>
    <w:basedOn w:val="1"/>
    <w:qFormat/>
    <w:uiPriority w:val="1"/>
    <w:pPr>
      <w:ind w:left="612" w:hanging="447"/>
    </w:pPr>
    <w:rPr>
      <w:b/>
      <w:bCs/>
    </w:rPr>
  </w:style>
  <w:style w:type="paragraph" w:styleId="11">
    <w:name w:val="toc 2"/>
    <w:basedOn w:val="1"/>
    <w:qFormat/>
    <w:uiPriority w:val="1"/>
    <w:pPr>
      <w:spacing w:before="15"/>
      <w:ind w:left="1044" w:hanging="663"/>
    </w:pPr>
    <w:rPr>
      <w:sz w:val="20"/>
      <w:szCs w:val="20"/>
    </w:rPr>
  </w:style>
  <w:style w:type="table" w:customStyle="1" w:styleId="14">
    <w:name w:val="Table Normal"/>
    <w:semiHidden/>
    <w:unhideWhenUsed/>
    <w:qFormat/>
    <w:uiPriority w:val="2"/>
    <w:tblPr>
      <w:tblCellMar>
        <w:top w:w="0" w:type="dxa"/>
        <w:left w:w="0" w:type="dxa"/>
        <w:bottom w:w="0" w:type="dxa"/>
        <w:right w:w="0" w:type="dxa"/>
      </w:tblCellMar>
    </w:tblPr>
  </w:style>
  <w:style w:type="paragraph" w:styleId="15">
    <w:name w:val="List Paragraph"/>
    <w:basedOn w:val="1"/>
    <w:qFormat/>
    <w:uiPriority w:val="1"/>
    <w:pPr>
      <w:ind w:left="6547" w:hanging="423"/>
    </w:pPr>
  </w:style>
  <w:style w:type="paragraph" w:customStyle="1" w:styleId="16">
    <w:name w:val="Table Paragraph"/>
    <w:basedOn w:val="1"/>
    <w:qFormat/>
    <w:uiPriority w:val="1"/>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9">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1222</Words>
  <Characters>1256</Characters>
  <Lines>9</Lines>
  <Paragraphs>2</Paragraphs>
  <TotalTime>1</TotalTime>
  <ScaleCrop>false</ScaleCrop>
  <LinksUpToDate>false</LinksUpToDate>
  <CharactersWithSpaces>1258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2025-06-09T01:30:00Z</dcterms:created>
  <dc:creator>销售小组</dc:creator>
  <cp:lastModifiedBy>马健钟</cp:lastModifiedBy>
  <dcterms:modified xsi:type="dcterms:W3CDTF">2025-06-15T11:09:21Z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2019-03-13T00:00:00Z</vt:filetime>
  </property>
  <property fmtid="{D5CDD505-2E9C-101B-9397-08002B2CF9AE}" pid="3" name="Creator">
    <vt:lpwstr>Microsoft® Word 2010</vt:lpwstr>
  </property>
  <property fmtid="{D5CDD505-2E9C-101B-9397-08002B2CF9AE}" pid="4" name="LastSaved">
    <vt:filetime>2025-04-07T00:00:00Z</vt:filetime>
  </property>
  <property fmtid="{D5CDD505-2E9C-101B-9397-08002B2CF9AE}" pid="5" name="Producer">
    <vt:lpwstr>Microsoft® Word 2010</vt:lpwstr>
  </property>
  <property fmtid="{D5CDD505-2E9C-101B-9397-08002B2CF9AE}" pid="6" name="KSOTemplateDocerSaveRecord">
    <vt:lpwstr>eyJoZGlkIjoiMWI3YTE3MGQ3ZTg2YjA0YWM2NmViY2ZmZWExMDMyMTciLCJ1c2VySWQiOiI4MTc5NjExOTIifQ==</vt:lpwstr>
  </property>
  <property fmtid="{D5CDD505-2E9C-101B-9397-08002B2CF9AE}" pid="7" name="KSOProductBuildVer">
    <vt:lpwstr>2052-12.1.0.21541</vt:lpwstr>
  </property>
  <property fmtid="{D5CDD505-2E9C-101B-9397-08002B2CF9AE}" pid="8" name="ICV">
    <vt:lpwstr>0395884690AD451AA6AA71F4150BEAD7_13</vt:lpwstr>
  </property>
</Properties>
</file>