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E5364">
      <w:pPr>
        <w:adjustRightInd w:val="0"/>
        <w:snapToGrid w:val="0"/>
        <w:jc w:val="center"/>
        <w:rPr>
          <w:b/>
          <w:bCs/>
          <w:sz w:val="36"/>
          <w:szCs w:val="36"/>
        </w:rPr>
      </w:pPr>
    </w:p>
    <w:p w14:paraId="7BEA2057">
      <w:pPr>
        <w:adjustRightInd w:val="0"/>
        <w:snapToGrid w:val="0"/>
        <w:jc w:val="center"/>
        <w:rPr>
          <w:b/>
          <w:bCs/>
          <w:sz w:val="36"/>
          <w:szCs w:val="36"/>
        </w:rPr>
      </w:pPr>
    </w:p>
    <w:p w14:paraId="0EB327AA">
      <w:pPr>
        <w:adjustRightInd w:val="0"/>
        <w:snapToGrid w:val="0"/>
        <w:jc w:val="center"/>
        <w:rPr>
          <w:b/>
          <w:bCs/>
          <w:sz w:val="36"/>
          <w:szCs w:val="36"/>
        </w:rPr>
      </w:pPr>
    </w:p>
    <w:p w14:paraId="06556B3D">
      <w:pPr>
        <w:adjustRightInd w:val="0"/>
        <w:snapToGrid w:val="0"/>
        <w:jc w:val="left"/>
        <w:rPr>
          <w:b/>
          <w:bCs/>
          <w:sz w:val="32"/>
          <w:u w:val="single"/>
        </w:rPr>
      </w:pPr>
      <w:r>
        <w:rPr>
          <w:rFonts w:hint="eastAsia"/>
          <w:b/>
          <w:bCs/>
          <w:sz w:val="44"/>
        </w:rPr>
        <mc:AlternateContent>
          <mc:Choice Requires="wps">
            <w:drawing>
              <wp:anchor distT="0" distB="0" distL="114300" distR="114300" simplePos="0" relativeHeight="251660288" behindDoc="0" locked="0" layoutInCell="1" allowOverlap="1">
                <wp:simplePos x="0" y="0"/>
                <wp:positionH relativeFrom="column">
                  <wp:posOffset>1386205</wp:posOffset>
                </wp:positionH>
                <wp:positionV relativeFrom="paragraph">
                  <wp:posOffset>81280</wp:posOffset>
                </wp:positionV>
                <wp:extent cx="2978150" cy="273050"/>
                <wp:effectExtent l="0" t="0" r="12700" b="12700"/>
                <wp:wrapNone/>
                <wp:docPr id="2" name="矩形 2"/>
                <wp:cNvGraphicFramePr/>
                <a:graphic xmlns:a="http://schemas.openxmlformats.org/drawingml/2006/main">
                  <a:graphicData uri="http://schemas.microsoft.com/office/word/2010/wordprocessingShape">
                    <wps:wsp>
                      <wps:cNvSpPr/>
                      <wps:spPr>
                        <a:xfrm>
                          <a:off x="0" y="0"/>
                          <a:ext cx="2978150" cy="273050"/>
                        </a:xfrm>
                        <a:prstGeom prst="rect">
                          <a:avLst/>
                        </a:prstGeom>
                        <a:solidFill>
                          <a:srgbClr val="FFFF0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15pt;margin-top:6.4pt;height:21.5pt;width:234.5pt;z-index:251660288;v-text-anchor:middle;mso-width-relative:page;mso-height-relative:page;" fillcolor="#FFFF00" filled="t" stroked="t" coordsize="21600,21600" o:gfxdata="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xV2Js2AAAAAkBAAAPAAAAAAAAAAEAIAAAACIAAABkcnMvZG93bnJldi54bWxQSwECFAAU&#10;AAAACACHTuJAfVW7+2MCAADdBAAADgAAAAAAAAABACAAAAAnAQAAZHJzL2Uyb0RvYy54bWxQSwUG&#10;AAAAAAYABgBZAQAA/AUAAAAA&#10;">
                <v:fill on="t" focussize="0,0"/>
                <v:stroke weight="2pt" color="#FFFFFF [3212]" joinstyle="round"/>
                <v:imagedata o:title=""/>
                <o:lock v:ext="edit" aspectratio="f"/>
              </v:rect>
            </w:pict>
          </mc:Fallback>
        </mc:AlternateContent>
      </w:r>
      <w:r>
        <w:rPr>
          <w:rFonts w:hint="eastAsia"/>
          <w:b/>
          <w:bCs/>
          <w:sz w:val="44"/>
        </w:rPr>
        <w:t xml:space="preserve">项目名称： </w:t>
      </w:r>
      <w:r>
        <w:rPr>
          <w:rFonts w:hint="eastAsia"/>
          <w:b/>
          <w:bCs/>
          <w:color w:val="FF0000"/>
          <w:sz w:val="44"/>
        </w:rPr>
        <w:t xml:space="preserve">                    </w:t>
      </w:r>
    </w:p>
    <w:p w14:paraId="02D156A6">
      <w:pPr>
        <w:adjustRightInd w:val="0"/>
        <w:snapToGrid w:val="0"/>
        <w:jc w:val="center"/>
        <w:rPr>
          <w:b/>
          <w:bCs/>
          <w:sz w:val="32"/>
          <w:u w:val="single"/>
        </w:rPr>
      </w:pPr>
    </w:p>
    <w:p w14:paraId="5675C502">
      <w:pPr>
        <w:adjustRightInd w:val="0"/>
        <w:snapToGrid w:val="0"/>
        <w:jc w:val="center"/>
        <w:rPr>
          <w:b/>
          <w:bCs/>
          <w:sz w:val="32"/>
          <w:u w:val="single"/>
        </w:rPr>
      </w:pPr>
    </w:p>
    <w:p w14:paraId="4BE10D59">
      <w:pPr>
        <w:adjustRightInd w:val="0"/>
        <w:snapToGrid w:val="0"/>
        <w:jc w:val="center"/>
        <w:rPr>
          <w:b/>
          <w:bCs/>
          <w:sz w:val="36"/>
          <w:szCs w:val="36"/>
          <w:u w:val="single"/>
        </w:rPr>
      </w:pPr>
    </w:p>
    <w:p w14:paraId="245B55B3">
      <w:pPr>
        <w:jc w:val="center"/>
        <w:rPr>
          <w:b/>
          <w:bCs/>
          <w:sz w:val="36"/>
        </w:rPr>
      </w:pPr>
      <w:r>
        <w:rPr>
          <w:rFonts w:hint="eastAsia"/>
          <w:b/>
          <w:bCs/>
          <w:sz w:val="36"/>
          <w:szCs w:val="36"/>
        </w:rPr>
        <w:t xml:space="preserve">        </w:t>
      </w:r>
    </w:p>
    <w:p w14:paraId="7881390C">
      <w:pPr>
        <w:adjustRightInd w:val="0"/>
        <w:snapToGrid w:val="0"/>
        <w:ind w:left="3246" w:leftChars="516" w:hanging="2163" w:hangingChars="601"/>
        <w:rPr>
          <w:b/>
          <w:bCs/>
          <w:sz w:val="36"/>
        </w:rPr>
      </w:pPr>
    </w:p>
    <w:p w14:paraId="52670240">
      <w:pPr>
        <w:adjustRightInd w:val="0"/>
        <w:snapToGrid w:val="0"/>
        <w:ind w:left="254" w:leftChars="121"/>
        <w:jc w:val="left"/>
        <w:rPr>
          <w:b/>
          <w:bCs/>
          <w:sz w:val="32"/>
          <w:szCs w:val="32"/>
        </w:rPr>
      </w:pPr>
    </w:p>
    <w:p w14:paraId="5D7ECDA1">
      <w:pPr>
        <w:adjustRightInd w:val="0"/>
        <w:snapToGrid w:val="0"/>
        <w:rPr>
          <w:b/>
          <w:bCs/>
          <w:sz w:val="36"/>
          <w:szCs w:val="36"/>
        </w:rPr>
      </w:pPr>
    </w:p>
    <w:p w14:paraId="342AB56E">
      <w:pPr>
        <w:adjustRightInd w:val="0"/>
        <w:snapToGrid w:val="0"/>
        <w:ind w:firstLine="2240" w:firstLineChars="800"/>
        <w:rPr>
          <w:b/>
          <w:bCs/>
          <w:sz w:val="28"/>
        </w:rPr>
      </w:pPr>
    </w:p>
    <w:p w14:paraId="3058030D">
      <w:pPr>
        <w:ind w:firstLine="2200" w:firstLineChars="500"/>
        <w:rPr>
          <w:rFonts w:ascii="Arial" w:hAnsi="Arial" w:cs="Arial"/>
          <w:b/>
          <w:bCs/>
          <w:sz w:val="30"/>
          <w:szCs w:val="36"/>
        </w:rPr>
      </w:pPr>
      <w:r>
        <w:rPr>
          <w:rFonts w:hint="eastAsia"/>
          <w:b/>
          <w:bCs/>
          <w:sz w:val="44"/>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99060</wp:posOffset>
                </wp:positionV>
                <wp:extent cx="1873250" cy="273050"/>
                <wp:effectExtent l="0" t="0" r="12700" b="12700"/>
                <wp:wrapNone/>
                <wp:docPr id="3" name="矩形 3"/>
                <wp:cNvGraphicFramePr/>
                <a:graphic xmlns:a="http://schemas.openxmlformats.org/drawingml/2006/main">
                  <a:graphicData uri="http://schemas.microsoft.com/office/word/2010/wordprocessingShape">
                    <wps:wsp>
                      <wps:cNvSpPr/>
                      <wps:spPr>
                        <a:xfrm>
                          <a:off x="0" y="0"/>
                          <a:ext cx="1873250" cy="273050"/>
                        </a:xfrm>
                        <a:prstGeom prst="rect">
                          <a:avLst/>
                        </a:prstGeom>
                        <a:solidFill>
                          <a:srgbClr val="FFFF00"/>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2.15pt;margin-top:7.8pt;height:21.5pt;width:147.5pt;z-index:251661312;v-text-anchor:middle;mso-width-relative:page;mso-height-relative:page;" fillcolor="#FFFF00" filled="t" stroked="t" coordsize="21600,21600" o:gfxdata="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AiEQ3YAAAACQEAAA8AAAAAAAAAAQAgAAAAIgAAAGRycy9k&#10;b3ducmV2LnhtbFBLAQIUABQAAAAIAIdO4kAFo6dMdAIAAPsEAAAOAAAAAAAAAAEAIAAAACcBAABk&#10;cnMvZTJvRG9jLnhtbFBLBQYAAAAABgAGAFkBAAANBgAAAAA=&#10;">
                <v:fill on="t" focussize="0,0"/>
                <v:stroke weight="2pt" color="#FFFFFF" joinstyle="round"/>
                <v:imagedata o:title=""/>
                <o:lock v:ext="edit" aspectratio="f"/>
              </v:rect>
            </w:pict>
          </mc:Fallback>
        </mc:AlternateContent>
      </w:r>
      <w:r>
        <w:rPr>
          <w:rFonts w:hint="eastAsia" w:ascii="Arial" w:hAnsi="Arial" w:cs="Arial"/>
          <w:b/>
          <w:bCs/>
          <w:sz w:val="30"/>
        </w:rPr>
        <w:t>合同号：</w:t>
      </w:r>
      <w:r>
        <w:rPr>
          <w:rFonts w:hint="eastAsia" w:ascii="Arial" w:hAnsi="Arial" w:cs="Arial"/>
          <w:b/>
          <w:bCs/>
          <w:color w:val="000000"/>
          <w:sz w:val="30"/>
        </w:rPr>
        <w:t xml:space="preserve">                       </w:t>
      </w:r>
    </w:p>
    <w:p w14:paraId="2E4ED61A">
      <w:pPr>
        <w:adjustRightInd w:val="0"/>
        <w:snapToGrid w:val="0"/>
        <w:rPr>
          <w:b/>
          <w:bCs/>
          <w:sz w:val="36"/>
        </w:rPr>
      </w:pPr>
    </w:p>
    <w:p w14:paraId="45E7DC2B">
      <w:pPr>
        <w:adjustRightInd w:val="0"/>
        <w:snapToGrid w:val="0"/>
        <w:ind w:firstLine="1920" w:firstLineChars="600"/>
        <w:rPr>
          <w:b/>
          <w:bCs/>
          <w:sz w:val="32"/>
        </w:rPr>
      </w:pPr>
    </w:p>
    <w:p w14:paraId="3FC1BF8F">
      <w:pPr>
        <w:adjustRightInd w:val="0"/>
        <w:snapToGrid w:val="0"/>
        <w:ind w:firstLine="1920" w:firstLineChars="600"/>
        <w:rPr>
          <w:rFonts w:hint="eastAsia"/>
          <w:b/>
          <w:bCs/>
          <w:sz w:val="32"/>
        </w:rPr>
      </w:pPr>
    </w:p>
    <w:p w14:paraId="7B04AFC2">
      <w:pPr>
        <w:adjustRightInd w:val="0"/>
        <w:snapToGrid w:val="0"/>
        <w:ind w:firstLine="1920" w:firstLineChars="600"/>
        <w:rPr>
          <w:rFonts w:hint="eastAsia"/>
          <w:b/>
          <w:bCs/>
          <w:sz w:val="32"/>
        </w:rPr>
      </w:pPr>
    </w:p>
    <w:p w14:paraId="086599DE">
      <w:pPr>
        <w:adjustRightInd w:val="0"/>
        <w:snapToGrid w:val="0"/>
        <w:ind w:firstLine="1920" w:firstLineChars="600"/>
        <w:rPr>
          <w:rFonts w:hint="eastAsia"/>
          <w:b/>
          <w:bCs/>
          <w:sz w:val="32"/>
        </w:rPr>
      </w:pPr>
    </w:p>
    <w:p w14:paraId="412FF957">
      <w:pPr>
        <w:adjustRightInd w:val="0"/>
        <w:snapToGrid w:val="0"/>
        <w:ind w:firstLine="1920" w:firstLineChars="600"/>
        <w:rPr>
          <w:rFonts w:hint="eastAsia"/>
          <w:b/>
          <w:bCs/>
          <w:sz w:val="32"/>
        </w:rPr>
      </w:pPr>
    </w:p>
    <w:p w14:paraId="1CCF3B34">
      <w:pPr>
        <w:adjustRightInd w:val="0"/>
        <w:snapToGrid w:val="0"/>
        <w:ind w:firstLine="1920" w:firstLineChars="600"/>
        <w:rPr>
          <w:rFonts w:hint="eastAsia"/>
          <w:b/>
          <w:bCs/>
          <w:sz w:val="32"/>
        </w:rPr>
      </w:pPr>
    </w:p>
    <w:p w14:paraId="4D4E0FD4">
      <w:pPr>
        <w:adjustRightInd w:val="0"/>
        <w:snapToGrid w:val="0"/>
        <w:ind w:firstLine="1920" w:firstLineChars="600"/>
        <w:rPr>
          <w:rFonts w:hint="eastAsia"/>
          <w:b/>
          <w:bCs/>
          <w:sz w:val="32"/>
        </w:rPr>
      </w:pPr>
    </w:p>
    <w:p w14:paraId="69E1A231">
      <w:pPr>
        <w:adjustRightInd w:val="0"/>
        <w:snapToGrid w:val="0"/>
        <w:ind w:firstLine="1920" w:firstLineChars="600"/>
        <w:rPr>
          <w:rFonts w:hint="eastAsia"/>
          <w:b/>
          <w:bCs/>
          <w:sz w:val="32"/>
        </w:rPr>
      </w:pPr>
    </w:p>
    <w:p w14:paraId="35AC92FF">
      <w:pPr>
        <w:adjustRightInd w:val="0"/>
        <w:snapToGrid w:val="0"/>
        <w:ind w:firstLine="1920" w:firstLineChars="600"/>
        <w:rPr>
          <w:b/>
          <w:bCs/>
          <w:sz w:val="32"/>
        </w:rPr>
      </w:pPr>
    </w:p>
    <w:p w14:paraId="783A07C8">
      <w:pPr>
        <w:adjustRightInd w:val="0"/>
        <w:snapToGrid w:val="0"/>
        <w:rPr>
          <w:rFonts w:hint="eastAsia"/>
          <w:b/>
          <w:bCs/>
          <w:sz w:val="32"/>
        </w:rPr>
      </w:pPr>
    </w:p>
    <w:p w14:paraId="5C68D046">
      <w:pPr>
        <w:adjustRightInd w:val="0"/>
        <w:snapToGrid w:val="0"/>
        <w:rPr>
          <w:rFonts w:hint="eastAsia"/>
          <w:b/>
          <w:bCs/>
          <w:sz w:val="32"/>
        </w:rPr>
      </w:pPr>
    </w:p>
    <w:p w14:paraId="39F4BC09">
      <w:pPr>
        <w:adjustRightInd w:val="0"/>
        <w:snapToGrid w:val="0"/>
        <w:rPr>
          <w:b/>
          <w:bCs/>
          <w:sz w:val="32"/>
        </w:rPr>
      </w:pPr>
    </w:p>
    <w:tbl>
      <w:tblPr>
        <w:tblStyle w:val="23"/>
        <w:tblpPr w:leftFromText="180" w:rightFromText="180" w:vertAnchor="text" w:horzAnchor="margin" w:tblpXSpec="center" w:tblpY="230"/>
        <w:tblW w:w="0" w:type="auto"/>
        <w:tblInd w:w="0" w:type="dxa"/>
        <w:tblLayout w:type="autofit"/>
        <w:tblCellMar>
          <w:top w:w="0" w:type="dxa"/>
          <w:left w:w="108" w:type="dxa"/>
          <w:bottom w:w="0" w:type="dxa"/>
          <w:right w:w="108" w:type="dxa"/>
        </w:tblCellMar>
      </w:tblPr>
      <w:tblGrid>
        <w:gridCol w:w="2376"/>
        <w:gridCol w:w="5112"/>
      </w:tblGrid>
      <w:tr w14:paraId="40626672">
        <w:tblPrEx>
          <w:tblCellMar>
            <w:top w:w="0" w:type="dxa"/>
            <w:left w:w="108" w:type="dxa"/>
            <w:bottom w:w="0" w:type="dxa"/>
            <w:right w:w="108" w:type="dxa"/>
          </w:tblCellMar>
        </w:tblPrEx>
        <w:tc>
          <w:tcPr>
            <w:tcW w:w="2376" w:type="dxa"/>
            <w:shd w:val="clear" w:color="auto" w:fill="auto"/>
            <w:vAlign w:val="center"/>
          </w:tcPr>
          <w:p w14:paraId="6C35DDC9">
            <w:pPr>
              <w:adjustRightInd w:val="0"/>
              <w:snapToGrid w:val="0"/>
              <w:ind w:firstLine="1320" w:firstLineChars="300"/>
              <w:rPr>
                <w:b/>
                <w:bCs/>
                <w:sz w:val="32"/>
              </w:rPr>
            </w:pPr>
            <w:r>
              <w:rPr>
                <w:rFonts w:hint="eastAsia"/>
                <w:b/>
                <w:bCs/>
                <w:sz w:val="44"/>
              </w:rPr>
              <mc:AlternateContent>
                <mc:Choice Requires="wps">
                  <w:drawing>
                    <wp:anchor distT="0" distB="0" distL="114300" distR="114300" simplePos="0" relativeHeight="251663360" behindDoc="0" locked="0" layoutInCell="1" allowOverlap="1">
                      <wp:simplePos x="0" y="0"/>
                      <wp:positionH relativeFrom="column">
                        <wp:posOffset>1397635</wp:posOffset>
                      </wp:positionH>
                      <wp:positionV relativeFrom="paragraph">
                        <wp:posOffset>1905</wp:posOffset>
                      </wp:positionV>
                      <wp:extent cx="2978150" cy="273050"/>
                      <wp:effectExtent l="0" t="0" r="12700" b="12700"/>
                      <wp:wrapNone/>
                      <wp:docPr id="5" name="矩形 5"/>
                      <wp:cNvGraphicFramePr/>
                      <a:graphic xmlns:a="http://schemas.openxmlformats.org/drawingml/2006/main">
                        <a:graphicData uri="http://schemas.microsoft.com/office/word/2010/wordprocessingShape">
                          <wps:wsp>
                            <wps:cNvSpPr/>
                            <wps:spPr>
                              <a:xfrm>
                                <a:off x="0" y="0"/>
                                <a:ext cx="2978150" cy="273050"/>
                              </a:xfrm>
                              <a:prstGeom prst="rect">
                                <a:avLst/>
                              </a:prstGeom>
                              <a:solidFill>
                                <a:srgbClr val="FFFF00"/>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0.05pt;margin-top:0.15pt;height:21.5pt;width:234.5pt;z-index:251663360;v-text-anchor:middle;mso-width-relative:page;mso-height-relative:page;" fillcolor="#FFFF00" filled="t" stroked="t" coordsize="21600,21600" o:gfxdata="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4dhvm1gAAAAcBAAAPAAAAAAAAAAEAIAAAACIAAABkcnMvZG93&#10;bnJldi54bWxQSwECFAAUAAAACACHTuJAaQR5EHQCAAD7BAAADgAAAAAAAAABACAAAAAlAQAAZHJz&#10;L2Uyb0RvYy54bWxQSwUGAAAAAAYABgBZAQAACwYAAAAA&#10;">
                      <v:fill on="t" focussize="0,0"/>
                      <v:stroke weight="2pt" color="#FFFFFF" joinstyle="round"/>
                      <v:imagedata o:title=""/>
                      <o:lock v:ext="edit" aspectratio="f"/>
                    </v:rect>
                  </w:pict>
                </mc:Fallback>
              </mc:AlternateContent>
            </w:r>
            <w:r>
              <w:rPr>
                <w:rFonts w:hint="eastAsia"/>
                <w:b/>
                <w:bCs/>
                <w:sz w:val="32"/>
              </w:rPr>
              <w:t xml:space="preserve">甲方：                   </w:t>
            </w:r>
          </w:p>
        </w:tc>
        <w:tc>
          <w:tcPr>
            <w:tcW w:w="5112" w:type="dxa"/>
            <w:shd w:val="clear" w:color="auto" w:fill="auto"/>
            <w:vAlign w:val="center"/>
          </w:tcPr>
          <w:p w14:paraId="5537F7B4">
            <w:pPr>
              <w:adjustRightInd w:val="0"/>
              <w:snapToGrid w:val="0"/>
              <w:rPr>
                <w:rFonts w:hint="eastAsia"/>
                <w:b/>
                <w:bCs/>
                <w:sz w:val="32"/>
              </w:rPr>
            </w:pPr>
            <w:r>
              <w:rPr>
                <w:rFonts w:hint="eastAsia"/>
                <w:b/>
                <w:bCs/>
                <w:sz w:val="32"/>
              </w:rPr>
              <w:t xml:space="preserve">                      </w:t>
            </w:r>
          </w:p>
          <w:p w14:paraId="7A68E723">
            <w:pPr>
              <w:adjustRightInd w:val="0"/>
              <w:snapToGrid w:val="0"/>
              <w:rPr>
                <w:b/>
                <w:bCs/>
                <w:sz w:val="32"/>
              </w:rPr>
            </w:pPr>
            <w:r>
              <w:rPr>
                <w:rFonts w:hint="eastAsia"/>
                <w:b/>
                <w:bCs/>
                <w:sz w:val="32"/>
              </w:rPr>
              <w:t xml:space="preserve">                     </w:t>
            </w:r>
          </w:p>
        </w:tc>
      </w:tr>
      <w:tr w14:paraId="2474F6BD">
        <w:tblPrEx>
          <w:tblCellMar>
            <w:top w:w="0" w:type="dxa"/>
            <w:left w:w="108" w:type="dxa"/>
            <w:bottom w:w="0" w:type="dxa"/>
            <w:right w:w="108" w:type="dxa"/>
          </w:tblCellMar>
        </w:tblPrEx>
        <w:tc>
          <w:tcPr>
            <w:tcW w:w="2376" w:type="dxa"/>
            <w:shd w:val="clear" w:color="auto" w:fill="auto"/>
            <w:vAlign w:val="center"/>
          </w:tcPr>
          <w:p w14:paraId="73F7EA8A">
            <w:pPr>
              <w:adjustRightInd w:val="0"/>
              <w:snapToGrid w:val="0"/>
              <w:ind w:firstLine="960" w:firstLineChars="300"/>
              <w:rPr>
                <w:rFonts w:hint="eastAsia"/>
                <w:b/>
                <w:bCs/>
                <w:sz w:val="32"/>
              </w:rPr>
            </w:pPr>
          </w:p>
          <w:p w14:paraId="58C0ABA2">
            <w:pPr>
              <w:adjustRightInd w:val="0"/>
              <w:snapToGrid w:val="0"/>
              <w:ind w:firstLine="1320" w:firstLineChars="300"/>
              <w:rPr>
                <w:b/>
                <w:bCs/>
                <w:sz w:val="32"/>
              </w:rPr>
            </w:pPr>
            <w:r>
              <w:rPr>
                <w:rFonts w:hint="eastAsia"/>
                <w:b/>
                <w:bCs/>
                <w:sz w:val="44"/>
              </w:rPr>
              <mc:AlternateContent>
                <mc:Choice Requires="wps">
                  <w:drawing>
                    <wp:anchor distT="0" distB="0" distL="114300" distR="114300" simplePos="0" relativeHeight="251662336" behindDoc="0" locked="0" layoutInCell="1" allowOverlap="1">
                      <wp:simplePos x="0" y="0"/>
                      <wp:positionH relativeFrom="column">
                        <wp:posOffset>1467485</wp:posOffset>
                      </wp:positionH>
                      <wp:positionV relativeFrom="paragraph">
                        <wp:posOffset>41275</wp:posOffset>
                      </wp:positionV>
                      <wp:extent cx="2978150" cy="273050"/>
                      <wp:effectExtent l="0" t="0" r="12700" b="12700"/>
                      <wp:wrapNone/>
                      <wp:docPr id="4" name="矩形 4"/>
                      <wp:cNvGraphicFramePr/>
                      <a:graphic xmlns:a="http://schemas.openxmlformats.org/drawingml/2006/main">
                        <a:graphicData uri="http://schemas.microsoft.com/office/word/2010/wordprocessingShape">
                          <wps:wsp>
                            <wps:cNvSpPr/>
                            <wps:spPr>
                              <a:xfrm>
                                <a:off x="0" y="0"/>
                                <a:ext cx="2978150" cy="273050"/>
                              </a:xfrm>
                              <a:prstGeom prst="rect">
                                <a:avLst/>
                              </a:prstGeom>
                              <a:solidFill>
                                <a:srgbClr val="FFFF00"/>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5.55pt;margin-top:3.25pt;height:21.5pt;width:234.5pt;z-index:251662336;v-text-anchor:middle;mso-width-relative:page;mso-height-relative:page;" fillcolor="#FFFF00" filled="t" stroked="t" coordsize="21600,21600" o:gfxdata="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oi6u5dcAAAAIAQAADwAAAAAAAAABACAAAAAiAAAAZHJzL2Rv&#10;d25yZXYueG1sUEsBAhQAFAAAAAgAh07iQGQLuYd0AgAA+wQAAA4AAAAAAAAAAQAgAAAAJgEAAGRy&#10;cy9lMm9Eb2MueG1sUEsFBgAAAAAGAAYAWQEAAAwGAAAAAA==&#10;">
                      <v:fill on="t" focussize="0,0"/>
                      <v:stroke weight="2pt" color="#FFFFFF" joinstyle="round"/>
                      <v:imagedata o:title=""/>
                      <o:lock v:ext="edit" aspectratio="f"/>
                    </v:rect>
                  </w:pict>
                </mc:Fallback>
              </mc:AlternateContent>
            </w:r>
            <w:r>
              <w:rPr>
                <w:rFonts w:hint="eastAsia"/>
                <w:b/>
                <w:bCs/>
                <w:sz w:val="32"/>
              </w:rPr>
              <w:t xml:space="preserve">乙方： </w:t>
            </w:r>
          </w:p>
        </w:tc>
        <w:tc>
          <w:tcPr>
            <w:tcW w:w="5112" w:type="dxa"/>
            <w:shd w:val="clear" w:color="auto" w:fill="auto"/>
            <w:vAlign w:val="bottom"/>
          </w:tcPr>
          <w:p w14:paraId="29DB7F88">
            <w:pPr>
              <w:adjustRightInd w:val="0"/>
              <w:snapToGrid w:val="0"/>
              <w:rPr>
                <w:b/>
                <w:bCs/>
                <w:sz w:val="32"/>
              </w:rPr>
            </w:pPr>
            <w:r>
              <w:rPr>
                <w:rFonts w:hint="eastAsia"/>
                <w:b/>
                <w:bCs/>
                <w:sz w:val="32"/>
              </w:rPr>
              <w:t xml:space="preserve"> </w:t>
            </w:r>
          </w:p>
        </w:tc>
      </w:tr>
    </w:tbl>
    <w:p w14:paraId="69D6EB90">
      <w:pPr>
        <w:adjustRightInd w:val="0"/>
        <w:snapToGrid w:val="0"/>
        <w:ind w:firstLine="640" w:firstLineChars="200"/>
        <w:rPr>
          <w:b/>
          <w:bCs/>
          <w:sz w:val="32"/>
        </w:rPr>
      </w:pPr>
    </w:p>
    <w:p w14:paraId="73A73DFC">
      <w:pPr>
        <w:adjustRightInd w:val="0"/>
        <w:snapToGrid w:val="0"/>
        <w:ind w:firstLine="2080" w:firstLineChars="650"/>
        <w:rPr>
          <w:b/>
          <w:bCs/>
          <w:sz w:val="32"/>
        </w:rPr>
      </w:pPr>
    </w:p>
    <w:p w14:paraId="0048C5C9">
      <w:pPr>
        <w:adjustRightInd w:val="0"/>
        <w:snapToGrid w:val="0"/>
        <w:ind w:firstLine="2080" w:firstLineChars="650"/>
        <w:rPr>
          <w:b/>
          <w:bCs/>
          <w:sz w:val="32"/>
        </w:rPr>
      </w:pPr>
    </w:p>
    <w:p w14:paraId="07AF5E2B">
      <w:pPr>
        <w:adjustRightInd w:val="0"/>
        <w:snapToGrid w:val="0"/>
        <w:ind w:firstLine="2080" w:firstLineChars="650"/>
        <w:rPr>
          <w:b/>
          <w:bCs/>
          <w:sz w:val="32"/>
        </w:rPr>
      </w:pPr>
    </w:p>
    <w:p w14:paraId="5EF9A1C7">
      <w:pPr>
        <w:adjustRightInd w:val="0"/>
        <w:snapToGrid w:val="0"/>
        <w:rPr>
          <w:b/>
          <w:bCs/>
          <w:sz w:val="32"/>
        </w:rPr>
        <w:sectPr>
          <w:headerReference r:id="rId5"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titlePg/>
          <w:docGrid w:type="linesAndChars" w:linePitch="312" w:charSpace="0"/>
        </w:sectPr>
      </w:pPr>
    </w:p>
    <w:p w14:paraId="23605790">
      <w:pPr>
        <w:pStyle w:val="14"/>
        <w:rPr>
          <w:rFonts w:asciiTheme="minorHAnsi" w:hAnsiTheme="minorHAnsi" w:eastAsiaTheme="minorEastAsia" w:cstheme="minorBidi"/>
          <w:b w:val="0"/>
          <w:szCs w:val="22"/>
        </w:rPr>
      </w:pPr>
      <w:r>
        <w:rPr>
          <w:rFonts w:asciiTheme="minorEastAsia" w:hAnsiTheme="minorEastAsia" w:eastAsiaTheme="minorEastAsia"/>
        </w:rPr>
        <w:fldChar w:fldCharType="begin"/>
      </w:r>
      <w:r>
        <w:rPr>
          <w:rFonts w:asciiTheme="minorEastAsia" w:hAnsiTheme="minorEastAsia" w:eastAsiaTheme="minorEastAsia"/>
        </w:rPr>
        <w:instrText xml:space="preserve"> TOC \o "1-3" \h \z \u </w:instrText>
      </w:r>
      <w:r>
        <w:rPr>
          <w:rFonts w:asciiTheme="minorEastAsia" w:hAnsiTheme="minorEastAsia" w:eastAsiaTheme="minorEastAsia"/>
        </w:rPr>
        <w:fldChar w:fldCharType="separate"/>
      </w:r>
      <w:r>
        <w:fldChar w:fldCharType="begin"/>
      </w:r>
      <w:r>
        <w:instrText xml:space="preserve"> HYPERLINK \l "_Toc152766663" </w:instrText>
      </w:r>
      <w:r>
        <w:fldChar w:fldCharType="separate"/>
      </w:r>
      <w:r>
        <w:rPr>
          <w:rStyle w:val="28"/>
          <w:rFonts w:hint="eastAsia"/>
          <w:bCs/>
        </w:rPr>
        <w:t>第一部分　　协议书</w:t>
      </w:r>
      <w:r>
        <w:tab/>
      </w:r>
      <w:r>
        <w:fldChar w:fldCharType="begin"/>
      </w:r>
      <w:r>
        <w:instrText xml:space="preserve"> PAGEREF _Toc152766663 \h </w:instrText>
      </w:r>
      <w:r>
        <w:fldChar w:fldCharType="separate"/>
      </w:r>
      <w:r>
        <w:t>4</w:t>
      </w:r>
      <w:r>
        <w:fldChar w:fldCharType="end"/>
      </w:r>
      <w:r>
        <w:fldChar w:fldCharType="end"/>
      </w:r>
    </w:p>
    <w:p w14:paraId="308A9139">
      <w:pPr>
        <w:pStyle w:val="14"/>
        <w:rPr>
          <w:rFonts w:asciiTheme="minorHAnsi" w:hAnsiTheme="minorHAnsi" w:eastAsiaTheme="minorEastAsia" w:cstheme="minorBidi"/>
          <w:b w:val="0"/>
          <w:szCs w:val="22"/>
        </w:rPr>
      </w:pPr>
      <w:r>
        <w:fldChar w:fldCharType="begin"/>
      </w:r>
      <w:r>
        <w:instrText xml:space="preserve"> HYPERLINK \l "_Toc152766664" </w:instrText>
      </w:r>
      <w:r>
        <w:fldChar w:fldCharType="separate"/>
      </w:r>
      <w:r>
        <w:rPr>
          <w:rStyle w:val="28"/>
          <w:rFonts w:hint="eastAsia" w:eastAsia="黑体"/>
          <w:bCs/>
        </w:rPr>
        <w:t>一、工程概况</w:t>
      </w:r>
      <w:r>
        <w:tab/>
      </w:r>
      <w:r>
        <w:fldChar w:fldCharType="begin"/>
      </w:r>
      <w:r>
        <w:instrText xml:space="preserve"> PAGEREF _Toc152766664 \h </w:instrText>
      </w:r>
      <w:r>
        <w:fldChar w:fldCharType="separate"/>
      </w:r>
      <w:r>
        <w:t>4</w:t>
      </w:r>
      <w:r>
        <w:fldChar w:fldCharType="end"/>
      </w:r>
      <w:r>
        <w:fldChar w:fldCharType="end"/>
      </w:r>
    </w:p>
    <w:p w14:paraId="383EC545">
      <w:pPr>
        <w:pStyle w:val="14"/>
        <w:rPr>
          <w:rFonts w:asciiTheme="minorHAnsi" w:hAnsiTheme="minorHAnsi" w:eastAsiaTheme="minorEastAsia" w:cstheme="minorBidi"/>
          <w:b w:val="0"/>
          <w:szCs w:val="22"/>
        </w:rPr>
      </w:pPr>
      <w:r>
        <w:fldChar w:fldCharType="begin"/>
      </w:r>
      <w:r>
        <w:instrText xml:space="preserve"> HYPERLINK \l "_Toc152766665" </w:instrText>
      </w:r>
      <w:r>
        <w:fldChar w:fldCharType="separate"/>
      </w:r>
      <w:r>
        <w:rPr>
          <w:rStyle w:val="28"/>
          <w:rFonts w:hint="eastAsia" w:eastAsia="黑体"/>
          <w:bCs/>
        </w:rPr>
        <w:t>三、合同工期</w:t>
      </w:r>
      <w:r>
        <w:tab/>
      </w:r>
      <w:r>
        <w:fldChar w:fldCharType="begin"/>
      </w:r>
      <w:r>
        <w:instrText xml:space="preserve"> PAGEREF _Toc152766665 \h </w:instrText>
      </w:r>
      <w:r>
        <w:fldChar w:fldCharType="separate"/>
      </w:r>
      <w:r>
        <w:t>5</w:t>
      </w:r>
      <w:r>
        <w:fldChar w:fldCharType="end"/>
      </w:r>
      <w:r>
        <w:fldChar w:fldCharType="end"/>
      </w:r>
    </w:p>
    <w:p w14:paraId="63D488F9">
      <w:pPr>
        <w:pStyle w:val="14"/>
        <w:rPr>
          <w:rFonts w:asciiTheme="minorHAnsi" w:hAnsiTheme="minorHAnsi" w:eastAsiaTheme="minorEastAsia" w:cstheme="minorBidi"/>
          <w:b w:val="0"/>
          <w:szCs w:val="22"/>
        </w:rPr>
      </w:pPr>
      <w:r>
        <w:fldChar w:fldCharType="begin"/>
      </w:r>
      <w:r>
        <w:instrText xml:space="preserve"> HYPERLINK \l "_Toc152766666" </w:instrText>
      </w:r>
      <w:r>
        <w:fldChar w:fldCharType="separate"/>
      </w:r>
      <w:r>
        <w:rPr>
          <w:rStyle w:val="28"/>
          <w:rFonts w:hint="eastAsia" w:eastAsia="黑体"/>
          <w:bCs/>
        </w:rPr>
        <w:t>四、质量标准</w:t>
      </w:r>
      <w:r>
        <w:tab/>
      </w:r>
      <w:r>
        <w:fldChar w:fldCharType="begin"/>
      </w:r>
      <w:r>
        <w:instrText xml:space="preserve"> PAGEREF _Toc152766666 \h </w:instrText>
      </w:r>
      <w:r>
        <w:fldChar w:fldCharType="separate"/>
      </w:r>
      <w:r>
        <w:t>5</w:t>
      </w:r>
      <w:r>
        <w:fldChar w:fldCharType="end"/>
      </w:r>
      <w:r>
        <w:fldChar w:fldCharType="end"/>
      </w:r>
    </w:p>
    <w:p w14:paraId="20C6B333">
      <w:pPr>
        <w:pStyle w:val="14"/>
        <w:rPr>
          <w:rFonts w:asciiTheme="minorHAnsi" w:hAnsiTheme="minorHAnsi" w:eastAsiaTheme="minorEastAsia" w:cstheme="minorBidi"/>
          <w:b w:val="0"/>
          <w:szCs w:val="22"/>
        </w:rPr>
      </w:pPr>
      <w:r>
        <w:fldChar w:fldCharType="begin"/>
      </w:r>
      <w:r>
        <w:instrText xml:space="preserve"> HYPERLINK \l "_Toc152766667" </w:instrText>
      </w:r>
      <w:r>
        <w:fldChar w:fldCharType="separate"/>
      </w:r>
      <w:r>
        <w:rPr>
          <w:rStyle w:val="28"/>
          <w:rFonts w:hint="eastAsia" w:eastAsia="黑体"/>
          <w:bCs/>
        </w:rPr>
        <w:t>五、合同价款</w:t>
      </w:r>
      <w:r>
        <w:tab/>
      </w:r>
      <w:r>
        <w:fldChar w:fldCharType="begin"/>
      </w:r>
      <w:r>
        <w:instrText xml:space="preserve"> PAGEREF _Toc152766667 \h </w:instrText>
      </w:r>
      <w:r>
        <w:fldChar w:fldCharType="separate"/>
      </w:r>
      <w:r>
        <w:t>5</w:t>
      </w:r>
      <w:r>
        <w:fldChar w:fldCharType="end"/>
      </w:r>
      <w:r>
        <w:fldChar w:fldCharType="end"/>
      </w:r>
    </w:p>
    <w:p w14:paraId="1951E10C">
      <w:pPr>
        <w:pStyle w:val="14"/>
        <w:rPr>
          <w:rFonts w:asciiTheme="minorHAnsi" w:hAnsiTheme="minorHAnsi" w:eastAsiaTheme="minorEastAsia" w:cstheme="minorBidi"/>
          <w:b w:val="0"/>
          <w:szCs w:val="22"/>
        </w:rPr>
      </w:pPr>
      <w:r>
        <w:fldChar w:fldCharType="begin"/>
      </w:r>
      <w:r>
        <w:instrText xml:space="preserve"> HYPERLINK \l "_Toc152766668" </w:instrText>
      </w:r>
      <w:r>
        <w:fldChar w:fldCharType="separate"/>
      </w:r>
      <w:r>
        <w:rPr>
          <w:rStyle w:val="28"/>
          <w:rFonts w:hint="eastAsia" w:eastAsia="黑体"/>
          <w:bCs/>
        </w:rPr>
        <w:t>六、组成合同的文件</w:t>
      </w:r>
      <w:r>
        <w:tab/>
      </w:r>
      <w:r>
        <w:fldChar w:fldCharType="begin"/>
      </w:r>
      <w:r>
        <w:instrText xml:space="preserve"> PAGEREF _Toc152766668 \h </w:instrText>
      </w:r>
      <w:r>
        <w:fldChar w:fldCharType="separate"/>
      </w:r>
      <w:r>
        <w:t>5</w:t>
      </w:r>
      <w:r>
        <w:fldChar w:fldCharType="end"/>
      </w:r>
      <w:r>
        <w:fldChar w:fldCharType="end"/>
      </w:r>
    </w:p>
    <w:p w14:paraId="1BE06470">
      <w:pPr>
        <w:pStyle w:val="14"/>
        <w:rPr>
          <w:rFonts w:asciiTheme="minorHAnsi" w:hAnsiTheme="minorHAnsi" w:eastAsiaTheme="minorEastAsia" w:cstheme="minorBidi"/>
          <w:b w:val="0"/>
          <w:szCs w:val="22"/>
        </w:rPr>
      </w:pPr>
      <w:r>
        <w:fldChar w:fldCharType="begin"/>
      </w:r>
      <w:r>
        <w:instrText xml:space="preserve"> HYPERLINK \l "_Toc152766669" </w:instrText>
      </w:r>
      <w:r>
        <w:fldChar w:fldCharType="separate"/>
      </w:r>
      <w:r>
        <w:rPr>
          <w:rStyle w:val="28"/>
          <w:rFonts w:hint="eastAsia" w:eastAsia="黑体"/>
          <w:bCs/>
        </w:rPr>
        <w:t>七、词语含义</w:t>
      </w:r>
      <w:r>
        <w:tab/>
      </w:r>
      <w:r>
        <w:fldChar w:fldCharType="begin"/>
      </w:r>
      <w:r>
        <w:instrText xml:space="preserve"> PAGEREF _Toc152766669 \h </w:instrText>
      </w:r>
      <w:r>
        <w:fldChar w:fldCharType="separate"/>
      </w:r>
      <w:r>
        <w:t>6</w:t>
      </w:r>
      <w:r>
        <w:fldChar w:fldCharType="end"/>
      </w:r>
      <w:r>
        <w:fldChar w:fldCharType="end"/>
      </w:r>
    </w:p>
    <w:p w14:paraId="2EE634E8">
      <w:pPr>
        <w:pStyle w:val="14"/>
        <w:rPr>
          <w:rFonts w:asciiTheme="minorHAnsi" w:hAnsiTheme="minorHAnsi" w:eastAsiaTheme="minorEastAsia" w:cstheme="minorBidi"/>
          <w:b w:val="0"/>
          <w:szCs w:val="22"/>
        </w:rPr>
      </w:pPr>
      <w:r>
        <w:fldChar w:fldCharType="begin"/>
      </w:r>
      <w:r>
        <w:instrText xml:space="preserve"> HYPERLINK \l "_Toc152766670" </w:instrText>
      </w:r>
      <w:r>
        <w:fldChar w:fldCharType="separate"/>
      </w:r>
      <w:r>
        <w:rPr>
          <w:rStyle w:val="28"/>
          <w:rFonts w:hint="eastAsia" w:eastAsia="黑体"/>
          <w:bCs/>
        </w:rPr>
        <w:t>八、乙方承诺</w:t>
      </w:r>
      <w:r>
        <w:tab/>
      </w:r>
      <w:r>
        <w:fldChar w:fldCharType="begin"/>
      </w:r>
      <w:r>
        <w:instrText xml:space="preserve"> PAGEREF _Toc152766670 \h </w:instrText>
      </w:r>
      <w:r>
        <w:fldChar w:fldCharType="separate"/>
      </w:r>
      <w:r>
        <w:t>6</w:t>
      </w:r>
      <w:r>
        <w:fldChar w:fldCharType="end"/>
      </w:r>
      <w:r>
        <w:fldChar w:fldCharType="end"/>
      </w:r>
    </w:p>
    <w:p w14:paraId="33F312B7">
      <w:pPr>
        <w:pStyle w:val="14"/>
        <w:rPr>
          <w:rFonts w:asciiTheme="minorHAnsi" w:hAnsiTheme="minorHAnsi" w:eastAsiaTheme="minorEastAsia" w:cstheme="minorBidi"/>
          <w:b w:val="0"/>
          <w:szCs w:val="22"/>
        </w:rPr>
      </w:pPr>
      <w:r>
        <w:fldChar w:fldCharType="begin"/>
      </w:r>
      <w:r>
        <w:instrText xml:space="preserve"> HYPERLINK \l "_Toc152766671" </w:instrText>
      </w:r>
      <w:r>
        <w:fldChar w:fldCharType="separate"/>
      </w:r>
      <w:r>
        <w:rPr>
          <w:rStyle w:val="28"/>
          <w:rFonts w:hint="eastAsia" w:eastAsia="黑体"/>
          <w:bCs/>
        </w:rPr>
        <w:t>九、合同生效</w:t>
      </w:r>
      <w:r>
        <w:tab/>
      </w:r>
      <w:r>
        <w:fldChar w:fldCharType="begin"/>
      </w:r>
      <w:r>
        <w:instrText xml:space="preserve"> PAGEREF _Toc152766671 \h </w:instrText>
      </w:r>
      <w:r>
        <w:fldChar w:fldCharType="separate"/>
      </w:r>
      <w:r>
        <w:t>6</w:t>
      </w:r>
      <w:r>
        <w:fldChar w:fldCharType="end"/>
      </w:r>
      <w:r>
        <w:fldChar w:fldCharType="end"/>
      </w:r>
    </w:p>
    <w:p w14:paraId="3DF338BF">
      <w:pPr>
        <w:pStyle w:val="14"/>
        <w:rPr>
          <w:rFonts w:asciiTheme="minorHAnsi" w:hAnsiTheme="minorHAnsi" w:eastAsiaTheme="minorEastAsia" w:cstheme="minorBidi"/>
          <w:b w:val="0"/>
          <w:szCs w:val="22"/>
        </w:rPr>
      </w:pPr>
      <w:r>
        <w:fldChar w:fldCharType="begin"/>
      </w:r>
      <w:r>
        <w:instrText xml:space="preserve"> HYPERLINK \l "_Toc152766672" </w:instrText>
      </w:r>
      <w:r>
        <w:fldChar w:fldCharType="separate"/>
      </w:r>
      <w:r>
        <w:rPr>
          <w:rStyle w:val="28"/>
          <w:rFonts w:hint="eastAsia" w:asciiTheme="majorEastAsia" w:hAnsiTheme="majorEastAsia" w:eastAsiaTheme="majorEastAsia"/>
          <w:bCs/>
        </w:rPr>
        <w:t>第二部分　　通用条款</w:t>
      </w:r>
      <w:r>
        <w:tab/>
      </w:r>
      <w:r>
        <w:fldChar w:fldCharType="begin"/>
      </w:r>
      <w:r>
        <w:instrText xml:space="preserve"> PAGEREF _Toc152766672 \h </w:instrText>
      </w:r>
      <w:r>
        <w:fldChar w:fldCharType="separate"/>
      </w:r>
      <w:r>
        <w:t>8</w:t>
      </w:r>
      <w:r>
        <w:fldChar w:fldCharType="end"/>
      </w:r>
      <w:r>
        <w:fldChar w:fldCharType="end"/>
      </w:r>
    </w:p>
    <w:p w14:paraId="78DD8104">
      <w:pPr>
        <w:pStyle w:val="14"/>
        <w:rPr>
          <w:rFonts w:asciiTheme="minorHAnsi" w:hAnsiTheme="minorHAnsi" w:eastAsiaTheme="minorEastAsia" w:cstheme="minorBidi"/>
          <w:b w:val="0"/>
          <w:szCs w:val="22"/>
        </w:rPr>
      </w:pPr>
      <w:r>
        <w:fldChar w:fldCharType="begin"/>
      </w:r>
      <w:r>
        <w:instrText xml:space="preserve"> HYPERLINK \l "_Toc152766673" </w:instrText>
      </w:r>
      <w:r>
        <w:fldChar w:fldCharType="separate"/>
      </w:r>
      <w:r>
        <w:rPr>
          <w:rStyle w:val="28"/>
          <w:rFonts w:hint="eastAsia"/>
        </w:rPr>
        <w:t>一、词语定义及合同文件</w:t>
      </w:r>
      <w:r>
        <w:tab/>
      </w:r>
      <w:r>
        <w:fldChar w:fldCharType="begin"/>
      </w:r>
      <w:r>
        <w:instrText xml:space="preserve"> PAGEREF _Toc152766673 \h </w:instrText>
      </w:r>
      <w:r>
        <w:fldChar w:fldCharType="separate"/>
      </w:r>
      <w:r>
        <w:t>8</w:t>
      </w:r>
      <w:r>
        <w:fldChar w:fldCharType="end"/>
      </w:r>
      <w:r>
        <w:fldChar w:fldCharType="end"/>
      </w:r>
    </w:p>
    <w:p w14:paraId="3F42587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"_Toc152766674" </w:instrText>
      </w:r>
      <w:r>
        <w:fldChar w:fldCharType="separate"/>
      </w:r>
      <w:r>
        <w:rPr>
          <w:rStyle w:val="28"/>
        </w:rPr>
        <w:t>1</w:t>
      </w:r>
      <w:r>
        <w:rPr>
          <w:rStyle w:val="28"/>
          <w:rFonts w:hint="eastAsia"/>
        </w:rPr>
        <w:t>、词语定义</w:t>
      </w:r>
      <w:r>
        <w:tab/>
      </w:r>
      <w:r>
        <w:fldChar w:fldCharType="begin"/>
      </w:r>
      <w:r>
        <w:instrText xml:space="preserve"> PAGEREF _Toc152766674 \h </w:instrText>
      </w:r>
      <w:r>
        <w:fldChar w:fldCharType="separate"/>
      </w:r>
      <w:r>
        <w:t>8</w:t>
      </w:r>
      <w:r>
        <w:fldChar w:fldCharType="end"/>
      </w:r>
      <w:r>
        <w:fldChar w:fldCharType="end"/>
      </w:r>
    </w:p>
    <w:p w14:paraId="34899744">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"_Toc152766675" </w:instrText>
      </w:r>
      <w:r>
        <w:fldChar w:fldCharType="separate"/>
      </w:r>
      <w:r>
        <w:rPr>
          <w:rStyle w:val="28"/>
        </w:rPr>
        <w:t>2</w:t>
      </w:r>
      <w:r>
        <w:rPr>
          <w:rStyle w:val="28"/>
          <w:rFonts w:hint="eastAsia"/>
        </w:rPr>
        <w:t>、合同文件及解释顺序</w:t>
      </w:r>
      <w:r>
        <w:tab/>
      </w:r>
      <w:r>
        <w:fldChar w:fldCharType="begin"/>
      </w:r>
      <w:r>
        <w:instrText xml:space="preserve"> PAGEREF _Toc152766675 \h </w:instrText>
      </w:r>
      <w:r>
        <w:fldChar w:fldCharType="separate"/>
      </w:r>
      <w:r>
        <w:t>8</w:t>
      </w:r>
      <w:r>
        <w:fldChar w:fldCharType="end"/>
      </w:r>
      <w:r>
        <w:fldChar w:fldCharType="end"/>
      </w:r>
    </w:p>
    <w:p w14:paraId="2FE536A9">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"_Toc152766676" </w:instrText>
      </w:r>
      <w:r>
        <w:fldChar w:fldCharType="separate"/>
      </w:r>
      <w:r>
        <w:rPr>
          <w:rStyle w:val="28"/>
        </w:rPr>
        <w:t>3</w:t>
      </w:r>
      <w:r>
        <w:rPr>
          <w:rStyle w:val="28"/>
          <w:rFonts w:hint="eastAsia"/>
        </w:rPr>
        <w:t>、适用法律、标准及规范</w:t>
      </w:r>
      <w:r>
        <w:tab/>
      </w:r>
      <w:r>
        <w:fldChar w:fldCharType="begin"/>
      </w:r>
      <w:r>
        <w:instrText xml:space="preserve"> PAGEREF _Toc152766676 \h </w:instrText>
      </w:r>
      <w:r>
        <w:fldChar w:fldCharType="separate"/>
      </w:r>
      <w:r>
        <w:t>9</w:t>
      </w:r>
      <w:r>
        <w:fldChar w:fldCharType="end"/>
      </w:r>
      <w:r>
        <w:fldChar w:fldCharType="end"/>
      </w:r>
    </w:p>
    <w:p w14:paraId="29614FFB">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"_Toc152766677" </w:instrText>
      </w:r>
      <w:r>
        <w:fldChar w:fldCharType="separate"/>
      </w:r>
      <w:r>
        <w:rPr>
          <w:rStyle w:val="28"/>
        </w:rPr>
        <w:t>4</w:t>
      </w:r>
      <w:r>
        <w:rPr>
          <w:rStyle w:val="28"/>
          <w:rFonts w:hint="eastAsia"/>
        </w:rPr>
        <w:t>、图纸</w:t>
      </w:r>
      <w:r>
        <w:tab/>
      </w:r>
      <w:r>
        <w:fldChar w:fldCharType="begin"/>
      </w:r>
      <w:r>
        <w:instrText xml:space="preserve"> PAGEREF _Toc152766677 \h </w:instrText>
      </w:r>
      <w:r>
        <w:fldChar w:fldCharType="separate"/>
      </w:r>
      <w:r>
        <w:t>9</w:t>
      </w:r>
      <w:r>
        <w:fldChar w:fldCharType="end"/>
      </w:r>
      <w:r>
        <w:fldChar w:fldCharType="end"/>
      </w:r>
    </w:p>
    <w:p w14:paraId="6BC8DA98">
      <w:pPr>
        <w:pStyle w:val="14"/>
        <w:rPr>
          <w:rFonts w:asciiTheme="minorHAnsi" w:hAnsiTheme="minorHAnsi" w:eastAsiaTheme="minorEastAsia" w:cstheme="minorBidi"/>
          <w:b w:val="0"/>
          <w:szCs w:val="22"/>
        </w:rPr>
      </w:pPr>
      <w:r>
        <w:fldChar w:fldCharType="begin"/>
      </w:r>
      <w:r>
        <w:instrText xml:space="preserve"> HYPERLINK \l "_Toc152766678" </w:instrText>
      </w:r>
      <w:r>
        <w:fldChar w:fldCharType="separate"/>
      </w:r>
      <w:r>
        <w:rPr>
          <w:rStyle w:val="28"/>
          <w:rFonts w:hint="eastAsia"/>
        </w:rPr>
        <w:t>二、双方一般权利和义务</w:t>
      </w:r>
      <w:r>
        <w:tab/>
      </w:r>
      <w:r>
        <w:fldChar w:fldCharType="begin"/>
      </w:r>
      <w:r>
        <w:instrText xml:space="preserve"> PAGEREF _Toc152766678 \h </w:instrText>
      </w:r>
      <w:r>
        <w:fldChar w:fldCharType="separate"/>
      </w:r>
      <w:r>
        <w:t>9</w:t>
      </w:r>
      <w:r>
        <w:fldChar w:fldCharType="end"/>
      </w:r>
      <w:r>
        <w:fldChar w:fldCharType="end"/>
      </w:r>
    </w:p>
    <w:p w14:paraId="04F129B4">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"_Toc152766679" </w:instrText>
      </w:r>
      <w:r>
        <w:fldChar w:fldCharType="separate"/>
      </w:r>
      <w:r>
        <w:rPr>
          <w:rStyle w:val="28"/>
        </w:rPr>
        <w:t>5</w:t>
      </w:r>
      <w:r>
        <w:rPr>
          <w:rStyle w:val="28"/>
          <w:rFonts w:hint="eastAsia"/>
        </w:rPr>
        <w:t>、甲方代表和监理工程师</w:t>
      </w:r>
      <w:r>
        <w:tab/>
      </w:r>
      <w:r>
        <w:fldChar w:fldCharType="begin"/>
      </w:r>
      <w:r>
        <w:instrText xml:space="preserve"> PAGEREF _Toc152766679 \h </w:instrText>
      </w:r>
      <w:r>
        <w:fldChar w:fldCharType="separate"/>
      </w:r>
      <w:r>
        <w:t>9</w:t>
      </w:r>
      <w:r>
        <w:fldChar w:fldCharType="end"/>
      </w:r>
      <w:r>
        <w:fldChar w:fldCharType="end"/>
      </w:r>
    </w:p>
    <w:p w14:paraId="4869DADD">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"_Toc152766680" </w:instrText>
      </w:r>
      <w:r>
        <w:fldChar w:fldCharType="separate"/>
      </w:r>
      <w:r>
        <w:rPr>
          <w:rStyle w:val="28"/>
        </w:rPr>
        <w:t>6</w:t>
      </w:r>
      <w:r>
        <w:rPr>
          <w:rStyle w:val="28"/>
          <w:rFonts w:hint="eastAsia"/>
        </w:rPr>
        <w:t>、甲方代表或监理工程师的指令</w:t>
      </w:r>
      <w:r>
        <w:tab/>
      </w:r>
      <w:r>
        <w:fldChar w:fldCharType="begin"/>
      </w:r>
      <w:r>
        <w:instrText xml:space="preserve"> PAGEREF _Toc152766680 \h </w:instrText>
      </w:r>
      <w:r>
        <w:fldChar w:fldCharType="separate"/>
      </w:r>
      <w:r>
        <w:t>9</w:t>
      </w:r>
      <w:r>
        <w:fldChar w:fldCharType="end"/>
      </w:r>
      <w:r>
        <w:fldChar w:fldCharType="end"/>
      </w:r>
    </w:p>
    <w:p w14:paraId="0F5AAA23">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"_Toc152766681" </w:instrText>
      </w:r>
      <w:r>
        <w:fldChar w:fldCharType="separate"/>
      </w:r>
      <w:r>
        <w:rPr>
          <w:rStyle w:val="28"/>
        </w:rPr>
        <w:t>7</w:t>
      </w:r>
      <w:r>
        <w:rPr>
          <w:rStyle w:val="28"/>
          <w:rFonts w:hint="eastAsia"/>
        </w:rPr>
        <w:t>、项目经理</w:t>
      </w:r>
      <w:r>
        <w:tab/>
      </w:r>
      <w:r>
        <w:fldChar w:fldCharType="begin"/>
      </w:r>
      <w:r>
        <w:instrText xml:space="preserve"> PAGEREF _Toc152766681 \h </w:instrText>
      </w:r>
      <w:r>
        <w:fldChar w:fldCharType="separate"/>
      </w:r>
      <w:r>
        <w:t>10</w:t>
      </w:r>
      <w:r>
        <w:fldChar w:fldCharType="end"/>
      </w:r>
      <w:r>
        <w:fldChar w:fldCharType="end"/>
      </w:r>
    </w:p>
    <w:p w14:paraId="2A337592">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"_Toc152766682" </w:instrText>
      </w:r>
      <w:r>
        <w:fldChar w:fldCharType="separate"/>
      </w:r>
      <w:r>
        <w:rPr>
          <w:rStyle w:val="28"/>
        </w:rPr>
        <w:t>8</w:t>
      </w:r>
      <w:r>
        <w:rPr>
          <w:rStyle w:val="28"/>
          <w:rFonts w:hint="eastAsia"/>
        </w:rPr>
        <w:t>、甲方工作</w:t>
      </w:r>
      <w:r>
        <w:tab/>
      </w:r>
      <w:r>
        <w:fldChar w:fldCharType="begin"/>
      </w:r>
      <w:r>
        <w:instrText xml:space="preserve"> PAGEREF _Toc152766682 \h </w:instrText>
      </w:r>
      <w:r>
        <w:fldChar w:fldCharType="separate"/>
      </w:r>
      <w:r>
        <w:t>10</w:t>
      </w:r>
      <w:r>
        <w:fldChar w:fldCharType="end"/>
      </w:r>
      <w:r>
        <w:fldChar w:fldCharType="end"/>
      </w:r>
    </w:p>
    <w:p w14:paraId="3FDC413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"_Toc152766683" </w:instrText>
      </w:r>
      <w:r>
        <w:fldChar w:fldCharType="separate"/>
      </w:r>
      <w:r>
        <w:rPr>
          <w:rStyle w:val="28"/>
        </w:rPr>
        <w:t>9</w:t>
      </w:r>
      <w:r>
        <w:rPr>
          <w:rStyle w:val="28"/>
          <w:rFonts w:hint="eastAsia"/>
        </w:rPr>
        <w:t>、乙方工作</w:t>
      </w:r>
      <w:r>
        <w:tab/>
      </w:r>
      <w:r>
        <w:fldChar w:fldCharType="begin"/>
      </w:r>
      <w:r>
        <w:instrText xml:space="preserve"> PAGEREF _Toc152766683 \h </w:instrText>
      </w:r>
      <w:r>
        <w:fldChar w:fldCharType="separate"/>
      </w:r>
      <w:r>
        <w:t>10</w:t>
      </w:r>
      <w:r>
        <w:fldChar w:fldCharType="end"/>
      </w:r>
      <w:r>
        <w:fldChar w:fldCharType="end"/>
      </w:r>
    </w:p>
    <w:p w14:paraId="39D130B9">
      <w:pPr>
        <w:pStyle w:val="14"/>
        <w:rPr>
          <w:rFonts w:asciiTheme="minorHAnsi" w:hAnsiTheme="minorHAnsi" w:eastAsiaTheme="minorEastAsia" w:cstheme="minorBidi"/>
          <w:b w:val="0"/>
          <w:szCs w:val="22"/>
        </w:rPr>
      </w:pPr>
      <w:r>
        <w:fldChar w:fldCharType="begin"/>
      </w:r>
      <w:r>
        <w:instrText xml:space="preserve"> HYPERLINK \l "_Toc152766684" </w:instrText>
      </w:r>
      <w:r>
        <w:fldChar w:fldCharType="separate"/>
      </w:r>
      <w:r>
        <w:rPr>
          <w:rStyle w:val="28"/>
          <w:rFonts w:hint="eastAsia"/>
        </w:rPr>
        <w:t>三、施工进度和工期</w:t>
      </w:r>
      <w:r>
        <w:tab/>
      </w:r>
      <w:r>
        <w:fldChar w:fldCharType="begin"/>
      </w:r>
      <w:r>
        <w:instrText xml:space="preserve"> PAGEREF _Toc152766684 \h </w:instrText>
      </w:r>
      <w:r>
        <w:fldChar w:fldCharType="separate"/>
      </w:r>
      <w:r>
        <w:t>11</w:t>
      </w:r>
      <w:r>
        <w:fldChar w:fldCharType="end"/>
      </w:r>
      <w:r>
        <w:fldChar w:fldCharType="end"/>
      </w:r>
    </w:p>
    <w:p w14:paraId="753E6B08">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"_Toc152766685" </w:instrText>
      </w:r>
      <w:r>
        <w:fldChar w:fldCharType="separate"/>
      </w:r>
      <w:r>
        <w:rPr>
          <w:rStyle w:val="28"/>
        </w:rPr>
        <w:t>10</w:t>
      </w:r>
      <w:r>
        <w:rPr>
          <w:rStyle w:val="28"/>
          <w:rFonts w:hint="eastAsia"/>
        </w:rPr>
        <w:t>、进度计划</w:t>
      </w:r>
      <w:r>
        <w:tab/>
      </w:r>
      <w:r>
        <w:fldChar w:fldCharType="begin"/>
      </w:r>
      <w:r>
        <w:instrText xml:space="preserve"> PAGEREF _Toc152766685 \h </w:instrText>
      </w:r>
      <w:r>
        <w:fldChar w:fldCharType="separate"/>
      </w:r>
      <w:r>
        <w:t>11</w:t>
      </w:r>
      <w:r>
        <w:fldChar w:fldCharType="end"/>
      </w:r>
      <w:r>
        <w:fldChar w:fldCharType="end"/>
      </w:r>
    </w:p>
    <w:p w14:paraId="2B3F037F">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"_Toc152766686" </w:instrText>
      </w:r>
      <w:r>
        <w:fldChar w:fldCharType="separate"/>
      </w:r>
      <w:r>
        <w:rPr>
          <w:rStyle w:val="28"/>
        </w:rPr>
        <w:t>12</w:t>
      </w:r>
      <w:r>
        <w:rPr>
          <w:rStyle w:val="28"/>
          <w:rFonts w:hint="eastAsia"/>
        </w:rPr>
        <w:t>、工期延误</w:t>
      </w:r>
      <w:r>
        <w:tab/>
      </w:r>
      <w:r>
        <w:fldChar w:fldCharType="begin"/>
      </w:r>
      <w:r>
        <w:instrText xml:space="preserve"> PAGEREF _Toc152766686 \h </w:instrText>
      </w:r>
      <w:r>
        <w:fldChar w:fldCharType="separate"/>
      </w:r>
      <w:r>
        <w:t>11</w:t>
      </w:r>
      <w:r>
        <w:fldChar w:fldCharType="end"/>
      </w:r>
      <w:r>
        <w:fldChar w:fldCharType="end"/>
      </w:r>
    </w:p>
    <w:p w14:paraId="7CEAF4C9">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"_Toc152766687" </w:instrText>
      </w:r>
      <w:r>
        <w:fldChar w:fldCharType="separate"/>
      </w:r>
      <w:r>
        <w:rPr>
          <w:rStyle w:val="28"/>
        </w:rPr>
        <w:t>13</w:t>
      </w:r>
      <w:r>
        <w:rPr>
          <w:rStyle w:val="28"/>
          <w:rFonts w:hint="eastAsia"/>
        </w:rPr>
        <w:t>、工程竣工</w:t>
      </w:r>
      <w:r>
        <w:tab/>
      </w:r>
      <w:r>
        <w:fldChar w:fldCharType="begin"/>
      </w:r>
      <w:r>
        <w:instrText xml:space="preserve"> PAGEREF _Toc152766687 \h </w:instrText>
      </w:r>
      <w:r>
        <w:fldChar w:fldCharType="separate"/>
      </w:r>
      <w:r>
        <w:t>11</w:t>
      </w:r>
      <w:r>
        <w:fldChar w:fldCharType="end"/>
      </w:r>
      <w:r>
        <w:fldChar w:fldCharType="end"/>
      </w:r>
    </w:p>
    <w:p w14:paraId="7C176347">
      <w:pPr>
        <w:pStyle w:val="14"/>
        <w:rPr>
          <w:rFonts w:asciiTheme="minorHAnsi" w:hAnsiTheme="minorHAnsi" w:eastAsiaTheme="minorEastAsia" w:cstheme="minorBidi"/>
          <w:b w:val="0"/>
          <w:szCs w:val="22"/>
        </w:rPr>
      </w:pPr>
      <w:r>
        <w:fldChar w:fldCharType="begin"/>
      </w:r>
      <w:r>
        <w:instrText xml:space="preserve"> HYPERLINK \l "_Toc152766688" </w:instrText>
      </w:r>
      <w:r>
        <w:fldChar w:fldCharType="separate"/>
      </w:r>
      <w:r>
        <w:rPr>
          <w:rStyle w:val="28"/>
          <w:rFonts w:hint="eastAsia"/>
        </w:rPr>
        <w:t>四、质量与检验</w:t>
      </w:r>
      <w:r>
        <w:tab/>
      </w:r>
      <w:r>
        <w:fldChar w:fldCharType="begin"/>
      </w:r>
      <w:r>
        <w:instrText xml:space="preserve"> PAGEREF _Toc152766688 \h </w:instrText>
      </w:r>
      <w:r>
        <w:fldChar w:fldCharType="separate"/>
      </w:r>
      <w:r>
        <w:t>11</w:t>
      </w:r>
      <w:r>
        <w:fldChar w:fldCharType="end"/>
      </w:r>
      <w:r>
        <w:fldChar w:fldCharType="end"/>
      </w:r>
    </w:p>
    <w:p w14:paraId="247557CA">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"_Toc152766689" </w:instrText>
      </w:r>
      <w:r>
        <w:fldChar w:fldCharType="separate"/>
      </w:r>
      <w:r>
        <w:rPr>
          <w:rStyle w:val="28"/>
        </w:rPr>
        <w:t>14</w:t>
      </w:r>
      <w:r>
        <w:rPr>
          <w:rStyle w:val="28"/>
          <w:rFonts w:hint="eastAsia"/>
        </w:rPr>
        <w:t>、工程质量</w:t>
      </w:r>
      <w:r>
        <w:tab/>
      </w:r>
      <w:r>
        <w:fldChar w:fldCharType="begin"/>
      </w:r>
      <w:r>
        <w:instrText xml:space="preserve"> PAGEREF _Toc152766689 \h </w:instrText>
      </w:r>
      <w:r>
        <w:fldChar w:fldCharType="separate"/>
      </w:r>
      <w:r>
        <w:t>11</w:t>
      </w:r>
      <w:r>
        <w:fldChar w:fldCharType="end"/>
      </w:r>
      <w:r>
        <w:fldChar w:fldCharType="end"/>
      </w:r>
    </w:p>
    <w:p w14:paraId="2AE2FA0B">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"_Toc152766690" </w:instrText>
      </w:r>
      <w:r>
        <w:fldChar w:fldCharType="separate"/>
      </w:r>
      <w:r>
        <w:rPr>
          <w:rStyle w:val="28"/>
        </w:rPr>
        <w:t>15</w:t>
      </w:r>
      <w:r>
        <w:rPr>
          <w:rStyle w:val="28"/>
          <w:rFonts w:hint="eastAsia"/>
        </w:rPr>
        <w:t>、检查和返工</w:t>
      </w:r>
      <w:r>
        <w:tab/>
      </w:r>
      <w:r>
        <w:fldChar w:fldCharType="begin"/>
      </w:r>
      <w:r>
        <w:instrText xml:space="preserve"> PAGEREF _Toc152766690 \h </w:instrText>
      </w:r>
      <w:r>
        <w:fldChar w:fldCharType="separate"/>
      </w:r>
      <w:r>
        <w:t>11</w:t>
      </w:r>
      <w:r>
        <w:fldChar w:fldCharType="end"/>
      </w:r>
      <w:r>
        <w:fldChar w:fldCharType="end"/>
      </w:r>
    </w:p>
    <w:p w14:paraId="28B64982">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"_Toc152766691" </w:instrText>
      </w:r>
      <w:r>
        <w:fldChar w:fldCharType="separate"/>
      </w:r>
      <w:r>
        <w:rPr>
          <w:rStyle w:val="28"/>
        </w:rPr>
        <w:t>16</w:t>
      </w:r>
      <w:r>
        <w:rPr>
          <w:rStyle w:val="28"/>
          <w:rFonts w:hint="eastAsia"/>
        </w:rPr>
        <w:t>、隐蔽工程和中间验收</w:t>
      </w:r>
      <w:r>
        <w:tab/>
      </w:r>
      <w:r>
        <w:fldChar w:fldCharType="begin"/>
      </w:r>
      <w:r>
        <w:instrText xml:space="preserve"> PAGEREF _Toc152766691 \h </w:instrText>
      </w:r>
      <w:r>
        <w:fldChar w:fldCharType="separate"/>
      </w:r>
      <w:r>
        <w:t>12</w:t>
      </w:r>
      <w:r>
        <w:fldChar w:fldCharType="end"/>
      </w:r>
      <w:r>
        <w:fldChar w:fldCharType="end"/>
      </w:r>
    </w:p>
    <w:p w14:paraId="40EDA638">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"_Toc152766692" </w:instrText>
      </w:r>
      <w:r>
        <w:fldChar w:fldCharType="separate"/>
      </w:r>
      <w:r>
        <w:rPr>
          <w:rStyle w:val="28"/>
        </w:rPr>
        <w:t>17</w:t>
      </w:r>
      <w:r>
        <w:rPr>
          <w:rStyle w:val="28"/>
          <w:rFonts w:hint="eastAsia"/>
        </w:rPr>
        <w:t>、重新检验</w:t>
      </w:r>
      <w:r>
        <w:tab/>
      </w:r>
      <w:r>
        <w:fldChar w:fldCharType="begin"/>
      </w:r>
      <w:r>
        <w:instrText xml:space="preserve"> PAGEREF _Toc152766692 \h </w:instrText>
      </w:r>
      <w:r>
        <w:fldChar w:fldCharType="separate"/>
      </w:r>
      <w:r>
        <w:t>12</w:t>
      </w:r>
      <w:r>
        <w:fldChar w:fldCharType="end"/>
      </w:r>
      <w:r>
        <w:fldChar w:fldCharType="end"/>
      </w:r>
    </w:p>
    <w:p w14:paraId="2483060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"_Toc152766693" </w:instrText>
      </w:r>
      <w:r>
        <w:fldChar w:fldCharType="separate"/>
      </w:r>
      <w:r>
        <w:rPr>
          <w:rStyle w:val="28"/>
        </w:rPr>
        <w:t>18</w:t>
      </w:r>
      <w:r>
        <w:rPr>
          <w:rStyle w:val="28"/>
          <w:rFonts w:hint="eastAsia"/>
        </w:rPr>
        <w:t>、质量事故</w:t>
      </w:r>
      <w:r>
        <w:tab/>
      </w:r>
      <w:r>
        <w:fldChar w:fldCharType="begin"/>
      </w:r>
      <w:r>
        <w:instrText xml:space="preserve"> PAGEREF _Toc152766693 \h </w:instrText>
      </w:r>
      <w:r>
        <w:fldChar w:fldCharType="separate"/>
      </w:r>
      <w:r>
        <w:t>12</w:t>
      </w:r>
      <w:r>
        <w:fldChar w:fldCharType="end"/>
      </w:r>
      <w:r>
        <w:fldChar w:fldCharType="end"/>
      </w:r>
    </w:p>
    <w:p w14:paraId="50D157C1">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"_Toc152766694" </w:instrText>
      </w:r>
      <w:r>
        <w:fldChar w:fldCharType="separate"/>
      </w:r>
      <w:r>
        <w:rPr>
          <w:rStyle w:val="28"/>
        </w:rPr>
        <w:t>19</w:t>
      </w:r>
      <w:r>
        <w:rPr>
          <w:rStyle w:val="28"/>
          <w:rFonts w:hint="eastAsia"/>
        </w:rPr>
        <w:t>、工程试车</w:t>
      </w:r>
      <w:r>
        <w:tab/>
      </w:r>
      <w:r>
        <w:fldChar w:fldCharType="begin"/>
      </w:r>
      <w:r>
        <w:instrText xml:space="preserve"> PAGEREF _Toc152766694 \h </w:instrText>
      </w:r>
      <w:r>
        <w:fldChar w:fldCharType="separate"/>
      </w:r>
      <w:r>
        <w:t>12</w:t>
      </w:r>
      <w:r>
        <w:fldChar w:fldCharType="end"/>
      </w:r>
      <w:r>
        <w:fldChar w:fldCharType="end"/>
      </w:r>
    </w:p>
    <w:p w14:paraId="117F2E56">
      <w:pPr>
        <w:pStyle w:val="14"/>
        <w:rPr>
          <w:rFonts w:asciiTheme="minorHAnsi" w:hAnsiTheme="minorHAnsi" w:eastAsiaTheme="minorEastAsia" w:cstheme="minorBidi"/>
          <w:b w:val="0"/>
          <w:szCs w:val="22"/>
        </w:rPr>
      </w:pPr>
      <w:r>
        <w:fldChar w:fldCharType="begin"/>
      </w:r>
      <w:r>
        <w:instrText xml:space="preserve"> HYPERLINK \l "_Toc152766695" </w:instrText>
      </w:r>
      <w:r>
        <w:fldChar w:fldCharType="separate"/>
      </w:r>
      <w:r>
        <w:rPr>
          <w:rStyle w:val="28"/>
          <w:rFonts w:hint="eastAsia"/>
        </w:rPr>
        <w:t>五、安全施工</w:t>
      </w:r>
      <w:r>
        <w:tab/>
      </w:r>
      <w:r>
        <w:fldChar w:fldCharType="begin"/>
      </w:r>
      <w:r>
        <w:instrText xml:space="preserve"> PAGEREF _Toc152766695 \h </w:instrText>
      </w:r>
      <w:r>
        <w:fldChar w:fldCharType="separate"/>
      </w:r>
      <w:r>
        <w:t>12</w:t>
      </w:r>
      <w:r>
        <w:fldChar w:fldCharType="end"/>
      </w:r>
      <w:r>
        <w:fldChar w:fldCharType="end"/>
      </w:r>
    </w:p>
    <w:p w14:paraId="6A86D0B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"_Toc152766696" </w:instrText>
      </w:r>
      <w:r>
        <w:fldChar w:fldCharType="separate"/>
      </w:r>
      <w:r>
        <w:rPr>
          <w:rStyle w:val="28"/>
        </w:rPr>
        <w:t>20</w:t>
      </w:r>
      <w:r>
        <w:rPr>
          <w:rStyle w:val="28"/>
          <w:rFonts w:hint="eastAsia"/>
        </w:rPr>
        <w:t>、安全施工与检查</w:t>
      </w:r>
      <w:r>
        <w:tab/>
      </w:r>
      <w:r>
        <w:fldChar w:fldCharType="begin"/>
      </w:r>
      <w:r>
        <w:instrText xml:space="preserve"> PAGEREF _Toc152766696 \h </w:instrText>
      </w:r>
      <w:r>
        <w:fldChar w:fldCharType="separate"/>
      </w:r>
      <w:r>
        <w:t>12</w:t>
      </w:r>
      <w:r>
        <w:fldChar w:fldCharType="end"/>
      </w:r>
      <w:r>
        <w:fldChar w:fldCharType="end"/>
      </w:r>
    </w:p>
    <w:p w14:paraId="237D61DE">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"_Toc152766697" </w:instrText>
      </w:r>
      <w:r>
        <w:fldChar w:fldCharType="separate"/>
      </w:r>
      <w:r>
        <w:rPr>
          <w:rStyle w:val="28"/>
        </w:rPr>
        <w:t>21</w:t>
      </w:r>
      <w:r>
        <w:rPr>
          <w:rStyle w:val="28"/>
          <w:rFonts w:hint="eastAsia"/>
        </w:rPr>
        <w:t>、安全防护</w:t>
      </w:r>
      <w:r>
        <w:tab/>
      </w:r>
      <w:r>
        <w:fldChar w:fldCharType="begin"/>
      </w:r>
      <w:r>
        <w:instrText xml:space="preserve"> PAGEREF _Toc152766697 \h </w:instrText>
      </w:r>
      <w:r>
        <w:fldChar w:fldCharType="separate"/>
      </w:r>
      <w:r>
        <w:t>13</w:t>
      </w:r>
      <w:r>
        <w:fldChar w:fldCharType="end"/>
      </w:r>
      <w:r>
        <w:fldChar w:fldCharType="end"/>
      </w:r>
    </w:p>
    <w:p w14:paraId="533B26EB">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"_Toc152766698" </w:instrText>
      </w:r>
      <w:r>
        <w:fldChar w:fldCharType="separate"/>
      </w:r>
      <w:r>
        <w:rPr>
          <w:rStyle w:val="28"/>
        </w:rPr>
        <w:t>22</w:t>
      </w:r>
      <w:r>
        <w:rPr>
          <w:rStyle w:val="28"/>
          <w:rFonts w:hint="eastAsia"/>
        </w:rPr>
        <w:t>、事故处理</w:t>
      </w:r>
      <w:r>
        <w:tab/>
      </w:r>
      <w:r>
        <w:fldChar w:fldCharType="begin"/>
      </w:r>
      <w:r>
        <w:instrText xml:space="preserve"> PAGEREF _Toc152766698 \h </w:instrText>
      </w:r>
      <w:r>
        <w:fldChar w:fldCharType="separate"/>
      </w:r>
      <w:r>
        <w:t>13</w:t>
      </w:r>
      <w:r>
        <w:fldChar w:fldCharType="end"/>
      </w:r>
      <w:r>
        <w:fldChar w:fldCharType="end"/>
      </w:r>
    </w:p>
    <w:p w14:paraId="6FB7E570">
      <w:pPr>
        <w:pStyle w:val="14"/>
        <w:rPr>
          <w:rFonts w:asciiTheme="minorHAnsi" w:hAnsiTheme="minorHAnsi" w:eastAsiaTheme="minorEastAsia" w:cstheme="minorBidi"/>
          <w:b w:val="0"/>
          <w:szCs w:val="22"/>
        </w:rPr>
      </w:pPr>
      <w:r>
        <w:fldChar w:fldCharType="begin"/>
      </w:r>
      <w:r>
        <w:instrText xml:space="preserve"> HYPERLINK \l "_Toc152766699" </w:instrText>
      </w:r>
      <w:r>
        <w:fldChar w:fldCharType="separate"/>
      </w:r>
      <w:r>
        <w:rPr>
          <w:rStyle w:val="28"/>
          <w:rFonts w:hint="eastAsia"/>
        </w:rPr>
        <w:t>六、合同价款与支付</w:t>
      </w:r>
      <w:r>
        <w:tab/>
      </w:r>
      <w:r>
        <w:fldChar w:fldCharType="begin"/>
      </w:r>
      <w:r>
        <w:instrText xml:space="preserve"> PAGEREF _Toc152766699 \h </w:instrText>
      </w:r>
      <w:r>
        <w:fldChar w:fldCharType="separate"/>
      </w:r>
      <w:r>
        <w:t>13</w:t>
      </w:r>
      <w:r>
        <w:fldChar w:fldCharType="end"/>
      </w:r>
      <w:r>
        <w:fldChar w:fldCharType="end"/>
      </w:r>
    </w:p>
    <w:p w14:paraId="4E85DE54">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"_Toc152766700" </w:instrText>
      </w:r>
      <w:r>
        <w:fldChar w:fldCharType="separate"/>
      </w:r>
      <w:r>
        <w:rPr>
          <w:rStyle w:val="28"/>
        </w:rPr>
        <w:t>23</w:t>
      </w:r>
      <w:r>
        <w:rPr>
          <w:rStyle w:val="28"/>
          <w:rFonts w:hint="eastAsia"/>
        </w:rPr>
        <w:t>、合同价款</w:t>
      </w:r>
      <w:r>
        <w:tab/>
      </w:r>
      <w:r>
        <w:fldChar w:fldCharType="begin"/>
      </w:r>
      <w:r>
        <w:instrText xml:space="preserve"> PAGEREF _Toc152766700 \h </w:instrText>
      </w:r>
      <w:r>
        <w:fldChar w:fldCharType="separate"/>
      </w:r>
      <w:r>
        <w:t>13</w:t>
      </w:r>
      <w:r>
        <w:fldChar w:fldCharType="end"/>
      </w:r>
      <w:r>
        <w:fldChar w:fldCharType="end"/>
      </w:r>
    </w:p>
    <w:p w14:paraId="6E68B72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"_Toc152766701" </w:instrText>
      </w:r>
      <w:r>
        <w:fldChar w:fldCharType="separate"/>
      </w:r>
      <w:r>
        <w:rPr>
          <w:rStyle w:val="28"/>
        </w:rPr>
        <w:t>24</w:t>
      </w:r>
      <w:r>
        <w:rPr>
          <w:rStyle w:val="28"/>
          <w:rFonts w:hint="eastAsia"/>
        </w:rPr>
        <w:t>、合同价款的调整</w:t>
      </w:r>
      <w:r>
        <w:tab/>
      </w:r>
      <w:r>
        <w:fldChar w:fldCharType="begin"/>
      </w:r>
      <w:r>
        <w:instrText xml:space="preserve"> PAGEREF _Toc152766701 \h </w:instrText>
      </w:r>
      <w:r>
        <w:fldChar w:fldCharType="separate"/>
      </w:r>
      <w:r>
        <w:t>13</w:t>
      </w:r>
      <w:r>
        <w:fldChar w:fldCharType="end"/>
      </w:r>
      <w:r>
        <w:fldChar w:fldCharType="end"/>
      </w:r>
    </w:p>
    <w:p w14:paraId="1CD8012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"_Toc152766702" </w:instrText>
      </w:r>
      <w:r>
        <w:fldChar w:fldCharType="separate"/>
      </w:r>
      <w:r>
        <w:rPr>
          <w:rStyle w:val="28"/>
        </w:rPr>
        <w:t>25</w:t>
      </w:r>
      <w:r>
        <w:rPr>
          <w:rStyle w:val="28"/>
          <w:rFonts w:hint="eastAsia"/>
        </w:rPr>
        <w:t>、工程量的确认</w:t>
      </w:r>
      <w:r>
        <w:tab/>
      </w:r>
      <w:r>
        <w:fldChar w:fldCharType="begin"/>
      </w:r>
      <w:r>
        <w:instrText xml:space="preserve"> PAGEREF _Toc152766702 \h </w:instrText>
      </w:r>
      <w:r>
        <w:fldChar w:fldCharType="separate"/>
      </w:r>
      <w:r>
        <w:t>13</w:t>
      </w:r>
      <w:r>
        <w:fldChar w:fldCharType="end"/>
      </w:r>
      <w:r>
        <w:fldChar w:fldCharType="end"/>
      </w:r>
    </w:p>
    <w:p w14:paraId="2FB6116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"_Toc152766703" </w:instrText>
      </w:r>
      <w:r>
        <w:fldChar w:fldCharType="separate"/>
      </w:r>
      <w:r>
        <w:rPr>
          <w:rStyle w:val="28"/>
        </w:rPr>
        <w:t>26</w:t>
      </w:r>
      <w:r>
        <w:rPr>
          <w:rStyle w:val="28"/>
          <w:rFonts w:hint="eastAsia"/>
        </w:rPr>
        <w:t>、工程款（或进度款）支付</w:t>
      </w:r>
      <w:r>
        <w:tab/>
      </w:r>
      <w:r>
        <w:fldChar w:fldCharType="begin"/>
      </w:r>
      <w:r>
        <w:instrText xml:space="preserve"> PAGEREF _Toc152766703 \h </w:instrText>
      </w:r>
      <w:r>
        <w:fldChar w:fldCharType="separate"/>
      </w:r>
      <w:r>
        <w:t>13</w:t>
      </w:r>
      <w:r>
        <w:fldChar w:fldCharType="end"/>
      </w:r>
      <w:r>
        <w:fldChar w:fldCharType="end"/>
      </w:r>
    </w:p>
    <w:p w14:paraId="669EF9A6">
      <w:pPr>
        <w:pStyle w:val="14"/>
        <w:rPr>
          <w:rFonts w:asciiTheme="minorHAnsi" w:hAnsiTheme="minorHAnsi" w:eastAsiaTheme="minorEastAsia" w:cstheme="minorBidi"/>
          <w:b w:val="0"/>
          <w:szCs w:val="22"/>
        </w:rPr>
      </w:pPr>
      <w:r>
        <w:fldChar w:fldCharType="begin"/>
      </w:r>
      <w:r>
        <w:instrText xml:space="preserve"> HYPERLINK \l "_Toc152766704" </w:instrText>
      </w:r>
      <w:r>
        <w:fldChar w:fldCharType="separate"/>
      </w:r>
      <w:r>
        <w:rPr>
          <w:rStyle w:val="28"/>
          <w:rFonts w:hint="eastAsia"/>
        </w:rPr>
        <w:t>七、材料设备供应</w:t>
      </w:r>
      <w:r>
        <w:tab/>
      </w:r>
      <w:r>
        <w:fldChar w:fldCharType="begin"/>
      </w:r>
      <w:r>
        <w:instrText xml:space="preserve"> PAGEREF _Toc152766704 \h </w:instrText>
      </w:r>
      <w:r>
        <w:fldChar w:fldCharType="separate"/>
      </w:r>
      <w:r>
        <w:t>13</w:t>
      </w:r>
      <w:r>
        <w:fldChar w:fldCharType="end"/>
      </w:r>
      <w:r>
        <w:fldChar w:fldCharType="end"/>
      </w:r>
    </w:p>
    <w:p w14:paraId="7DDDBECA">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"_Toc152766705" </w:instrText>
      </w:r>
      <w:r>
        <w:fldChar w:fldCharType="separate"/>
      </w:r>
      <w:r>
        <w:rPr>
          <w:rStyle w:val="28"/>
        </w:rPr>
        <w:t>27</w:t>
      </w:r>
      <w:r>
        <w:rPr>
          <w:rStyle w:val="28"/>
          <w:rFonts w:hint="eastAsia"/>
        </w:rPr>
        <w:t>、材料供应</w:t>
      </w:r>
      <w:r>
        <w:tab/>
      </w:r>
      <w:r>
        <w:fldChar w:fldCharType="begin"/>
      </w:r>
      <w:r>
        <w:instrText xml:space="preserve"> PAGEREF _Toc152766705 \h </w:instrText>
      </w:r>
      <w:r>
        <w:fldChar w:fldCharType="separate"/>
      </w:r>
      <w:r>
        <w:t>13</w:t>
      </w:r>
      <w:r>
        <w:fldChar w:fldCharType="end"/>
      </w:r>
      <w:r>
        <w:fldChar w:fldCharType="end"/>
      </w:r>
    </w:p>
    <w:p w14:paraId="31EED9C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"_Toc152766706" </w:instrText>
      </w:r>
      <w:r>
        <w:fldChar w:fldCharType="separate"/>
      </w:r>
      <w:r>
        <w:rPr>
          <w:rStyle w:val="28"/>
        </w:rPr>
        <w:t>28</w:t>
      </w:r>
      <w:r>
        <w:rPr>
          <w:rStyle w:val="28"/>
          <w:rFonts w:hint="eastAsia"/>
        </w:rPr>
        <w:t>、设备供应</w:t>
      </w:r>
      <w:r>
        <w:tab/>
      </w:r>
      <w:r>
        <w:fldChar w:fldCharType="begin"/>
      </w:r>
      <w:r>
        <w:instrText xml:space="preserve"> PAGEREF _Toc152766706 \h </w:instrText>
      </w:r>
      <w:r>
        <w:fldChar w:fldCharType="separate"/>
      </w:r>
      <w:r>
        <w:t>13</w:t>
      </w:r>
      <w:r>
        <w:fldChar w:fldCharType="end"/>
      </w:r>
      <w:r>
        <w:fldChar w:fldCharType="end"/>
      </w:r>
    </w:p>
    <w:p w14:paraId="3E6AF4BA">
      <w:pPr>
        <w:pStyle w:val="14"/>
        <w:rPr>
          <w:rFonts w:asciiTheme="minorHAnsi" w:hAnsiTheme="minorHAnsi" w:eastAsiaTheme="minorEastAsia" w:cstheme="minorBidi"/>
          <w:b w:val="0"/>
          <w:szCs w:val="22"/>
        </w:rPr>
      </w:pPr>
      <w:r>
        <w:fldChar w:fldCharType="begin"/>
      </w:r>
      <w:r>
        <w:instrText xml:space="preserve"> HYPERLINK \l "_Toc152766707" </w:instrText>
      </w:r>
      <w:r>
        <w:fldChar w:fldCharType="separate"/>
      </w:r>
      <w:r>
        <w:rPr>
          <w:rStyle w:val="28"/>
          <w:rFonts w:hint="eastAsia"/>
        </w:rPr>
        <w:t>八、工程变更</w:t>
      </w:r>
      <w:r>
        <w:tab/>
      </w:r>
      <w:r>
        <w:fldChar w:fldCharType="begin"/>
      </w:r>
      <w:r>
        <w:instrText xml:space="preserve"> PAGEREF _Toc152766707 \h </w:instrText>
      </w:r>
      <w:r>
        <w:fldChar w:fldCharType="separate"/>
      </w:r>
      <w:r>
        <w:t>13</w:t>
      </w:r>
      <w:r>
        <w:fldChar w:fldCharType="end"/>
      </w:r>
      <w:r>
        <w:fldChar w:fldCharType="end"/>
      </w:r>
    </w:p>
    <w:p w14:paraId="7FE49F32">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"_Toc152766708" </w:instrText>
      </w:r>
      <w:r>
        <w:fldChar w:fldCharType="separate"/>
      </w:r>
      <w:r>
        <w:rPr>
          <w:rStyle w:val="28"/>
        </w:rPr>
        <w:t>29</w:t>
      </w:r>
      <w:r>
        <w:rPr>
          <w:rStyle w:val="28"/>
          <w:rFonts w:hint="eastAsia"/>
        </w:rPr>
        <w:t>、工程设计变更</w:t>
      </w:r>
      <w:r>
        <w:tab/>
      </w:r>
      <w:r>
        <w:fldChar w:fldCharType="begin"/>
      </w:r>
      <w:r>
        <w:instrText xml:space="preserve"> PAGEREF _Toc152766708 \h </w:instrText>
      </w:r>
      <w:r>
        <w:fldChar w:fldCharType="separate"/>
      </w:r>
      <w:r>
        <w:t>13</w:t>
      </w:r>
      <w:r>
        <w:fldChar w:fldCharType="end"/>
      </w:r>
      <w:r>
        <w:fldChar w:fldCharType="end"/>
      </w:r>
    </w:p>
    <w:p w14:paraId="14485AA5">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"_Toc152766709" </w:instrText>
      </w:r>
      <w:r>
        <w:fldChar w:fldCharType="separate"/>
      </w:r>
      <w:r>
        <w:rPr>
          <w:rStyle w:val="28"/>
        </w:rPr>
        <w:t>30</w:t>
      </w:r>
      <w:r>
        <w:rPr>
          <w:rStyle w:val="28"/>
          <w:rFonts w:hint="eastAsia"/>
        </w:rPr>
        <w:t>、其他变更</w:t>
      </w:r>
      <w:r>
        <w:tab/>
      </w:r>
      <w:r>
        <w:fldChar w:fldCharType="begin"/>
      </w:r>
      <w:r>
        <w:instrText xml:space="preserve"> PAGEREF _Toc152766709 \h </w:instrText>
      </w:r>
      <w:r>
        <w:fldChar w:fldCharType="separate"/>
      </w:r>
      <w:r>
        <w:t>14</w:t>
      </w:r>
      <w:r>
        <w:fldChar w:fldCharType="end"/>
      </w:r>
      <w:r>
        <w:fldChar w:fldCharType="end"/>
      </w:r>
    </w:p>
    <w:p w14:paraId="5695ADC6">
      <w:pPr>
        <w:pStyle w:val="14"/>
        <w:rPr>
          <w:rFonts w:asciiTheme="minorHAnsi" w:hAnsiTheme="minorHAnsi" w:eastAsiaTheme="minorEastAsia" w:cstheme="minorBidi"/>
          <w:b w:val="0"/>
          <w:szCs w:val="22"/>
        </w:rPr>
      </w:pPr>
      <w:r>
        <w:fldChar w:fldCharType="begin"/>
      </w:r>
      <w:r>
        <w:instrText xml:space="preserve"> HYPERLINK \l "_Toc152766710" </w:instrText>
      </w:r>
      <w:r>
        <w:fldChar w:fldCharType="separate"/>
      </w:r>
      <w:r>
        <w:rPr>
          <w:rStyle w:val="28"/>
          <w:rFonts w:hint="eastAsia"/>
        </w:rPr>
        <w:t>九、竣工验收与结算</w:t>
      </w:r>
      <w:r>
        <w:tab/>
      </w:r>
      <w:r>
        <w:fldChar w:fldCharType="begin"/>
      </w:r>
      <w:r>
        <w:instrText xml:space="preserve"> PAGEREF _Toc152766710 \h </w:instrText>
      </w:r>
      <w:r>
        <w:fldChar w:fldCharType="separate"/>
      </w:r>
      <w:r>
        <w:t>14</w:t>
      </w:r>
      <w:r>
        <w:fldChar w:fldCharType="end"/>
      </w:r>
      <w:r>
        <w:fldChar w:fldCharType="end"/>
      </w:r>
    </w:p>
    <w:p w14:paraId="6D8EBF76">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"_Toc152766711" </w:instrText>
      </w:r>
      <w:r>
        <w:fldChar w:fldCharType="separate"/>
      </w:r>
      <w:r>
        <w:rPr>
          <w:rStyle w:val="28"/>
        </w:rPr>
        <w:t>31</w:t>
      </w:r>
      <w:r>
        <w:rPr>
          <w:rStyle w:val="28"/>
          <w:rFonts w:hint="eastAsia"/>
        </w:rPr>
        <w:t>、竣工验收的条件</w:t>
      </w:r>
      <w:r>
        <w:tab/>
      </w:r>
      <w:r>
        <w:fldChar w:fldCharType="begin"/>
      </w:r>
      <w:r>
        <w:instrText xml:space="preserve"> PAGEREF _Toc152766711 \h </w:instrText>
      </w:r>
      <w:r>
        <w:fldChar w:fldCharType="separate"/>
      </w:r>
      <w:r>
        <w:t>14</w:t>
      </w:r>
      <w:r>
        <w:fldChar w:fldCharType="end"/>
      </w:r>
      <w:r>
        <w:fldChar w:fldCharType="end"/>
      </w:r>
    </w:p>
    <w:p w14:paraId="709858D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"_Toc152766712" </w:instrText>
      </w:r>
      <w:r>
        <w:fldChar w:fldCharType="separate"/>
      </w:r>
      <w:r>
        <w:rPr>
          <w:rStyle w:val="28"/>
        </w:rPr>
        <w:t>32</w:t>
      </w:r>
      <w:r>
        <w:rPr>
          <w:rStyle w:val="28"/>
          <w:rFonts w:hint="eastAsia"/>
        </w:rPr>
        <w:t>、竣工验收的组织</w:t>
      </w:r>
      <w:r>
        <w:tab/>
      </w:r>
      <w:r>
        <w:fldChar w:fldCharType="begin"/>
      </w:r>
      <w:r>
        <w:instrText xml:space="preserve"> PAGEREF _Toc152766712 \h </w:instrText>
      </w:r>
      <w:r>
        <w:fldChar w:fldCharType="separate"/>
      </w:r>
      <w:r>
        <w:t>14</w:t>
      </w:r>
      <w:r>
        <w:fldChar w:fldCharType="end"/>
      </w:r>
      <w:r>
        <w:fldChar w:fldCharType="end"/>
      </w:r>
    </w:p>
    <w:p w14:paraId="73621211">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"_Toc152766713" </w:instrText>
      </w:r>
      <w:r>
        <w:fldChar w:fldCharType="separate"/>
      </w:r>
      <w:r>
        <w:rPr>
          <w:rStyle w:val="28"/>
        </w:rPr>
        <w:t>33</w:t>
      </w:r>
      <w:r>
        <w:rPr>
          <w:rStyle w:val="28"/>
          <w:rFonts w:hint="eastAsia"/>
        </w:rPr>
        <w:t>、竣工验收报告</w:t>
      </w:r>
      <w:r>
        <w:tab/>
      </w:r>
      <w:r>
        <w:fldChar w:fldCharType="begin"/>
      </w:r>
      <w:r>
        <w:instrText xml:space="preserve"> PAGEREF _Toc152766713 \h </w:instrText>
      </w:r>
      <w:r>
        <w:fldChar w:fldCharType="separate"/>
      </w:r>
      <w:r>
        <w:t>14</w:t>
      </w:r>
      <w:r>
        <w:fldChar w:fldCharType="end"/>
      </w:r>
      <w:r>
        <w:fldChar w:fldCharType="end"/>
      </w:r>
    </w:p>
    <w:p w14:paraId="1A7D7AA5">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"_Toc152766714" </w:instrText>
      </w:r>
      <w:r>
        <w:fldChar w:fldCharType="separate"/>
      </w:r>
      <w:r>
        <w:rPr>
          <w:rStyle w:val="28"/>
        </w:rPr>
        <w:t>34</w:t>
      </w:r>
      <w:r>
        <w:rPr>
          <w:rStyle w:val="28"/>
          <w:rFonts w:hint="eastAsia"/>
        </w:rPr>
        <w:t>、竣工结算报告</w:t>
      </w:r>
      <w:r>
        <w:tab/>
      </w:r>
      <w:r>
        <w:fldChar w:fldCharType="begin"/>
      </w:r>
      <w:r>
        <w:instrText xml:space="preserve"> PAGEREF _Toc152766714 \h </w:instrText>
      </w:r>
      <w:r>
        <w:fldChar w:fldCharType="separate"/>
      </w:r>
      <w:r>
        <w:t>14</w:t>
      </w:r>
      <w:r>
        <w:fldChar w:fldCharType="end"/>
      </w:r>
      <w:r>
        <w:fldChar w:fldCharType="end"/>
      </w:r>
    </w:p>
    <w:p w14:paraId="611FC8FE">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"_Toc152766715" </w:instrText>
      </w:r>
      <w:r>
        <w:fldChar w:fldCharType="separate"/>
      </w:r>
      <w:r>
        <w:rPr>
          <w:rStyle w:val="28"/>
        </w:rPr>
        <w:t>35</w:t>
      </w:r>
      <w:r>
        <w:rPr>
          <w:rStyle w:val="28"/>
          <w:rFonts w:hint="eastAsia"/>
        </w:rPr>
        <w:t>、合同工程接收</w:t>
      </w:r>
      <w:r>
        <w:tab/>
      </w:r>
      <w:r>
        <w:fldChar w:fldCharType="begin"/>
      </w:r>
      <w:r>
        <w:instrText xml:space="preserve"> PAGEREF _Toc152766715 \h </w:instrText>
      </w:r>
      <w:r>
        <w:fldChar w:fldCharType="separate"/>
      </w:r>
      <w:r>
        <w:t>14</w:t>
      </w:r>
      <w:r>
        <w:fldChar w:fldCharType="end"/>
      </w:r>
      <w:r>
        <w:fldChar w:fldCharType="end"/>
      </w:r>
    </w:p>
    <w:p w14:paraId="431EC3FE">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"_Toc152766716" </w:instrText>
      </w:r>
      <w:r>
        <w:fldChar w:fldCharType="separate"/>
      </w:r>
      <w:r>
        <w:rPr>
          <w:rStyle w:val="28"/>
        </w:rPr>
        <w:t>36</w:t>
      </w:r>
      <w:r>
        <w:rPr>
          <w:rStyle w:val="28"/>
          <w:rFonts w:hint="eastAsia"/>
        </w:rPr>
        <w:t>、质量保修</w:t>
      </w:r>
      <w:r>
        <w:tab/>
      </w:r>
      <w:r>
        <w:fldChar w:fldCharType="begin"/>
      </w:r>
      <w:r>
        <w:instrText xml:space="preserve"> PAGEREF _Toc152766716 \h </w:instrText>
      </w:r>
      <w:r>
        <w:fldChar w:fldCharType="separate"/>
      </w:r>
      <w:r>
        <w:t>14</w:t>
      </w:r>
      <w:r>
        <w:fldChar w:fldCharType="end"/>
      </w:r>
      <w:r>
        <w:fldChar w:fldCharType="end"/>
      </w:r>
    </w:p>
    <w:p w14:paraId="7AFF2D5D">
      <w:pPr>
        <w:pStyle w:val="14"/>
        <w:rPr>
          <w:rFonts w:asciiTheme="minorHAnsi" w:hAnsiTheme="minorHAnsi" w:eastAsiaTheme="minorEastAsia" w:cstheme="minorBidi"/>
          <w:b w:val="0"/>
          <w:szCs w:val="22"/>
        </w:rPr>
      </w:pPr>
      <w:r>
        <w:fldChar w:fldCharType="begin"/>
      </w:r>
      <w:r>
        <w:instrText xml:space="preserve"> HYPERLINK \l "_Toc152766717" </w:instrText>
      </w:r>
      <w:r>
        <w:fldChar w:fldCharType="separate"/>
      </w:r>
      <w:r>
        <w:rPr>
          <w:rStyle w:val="28"/>
          <w:rFonts w:hint="eastAsia"/>
        </w:rPr>
        <w:t>十、违约和解除合同</w:t>
      </w:r>
      <w:r>
        <w:tab/>
      </w:r>
      <w:r>
        <w:fldChar w:fldCharType="begin"/>
      </w:r>
      <w:r>
        <w:instrText xml:space="preserve"> PAGEREF _Toc152766717 \h </w:instrText>
      </w:r>
      <w:r>
        <w:fldChar w:fldCharType="separate"/>
      </w:r>
      <w:r>
        <w:t>15</w:t>
      </w:r>
      <w:r>
        <w:fldChar w:fldCharType="end"/>
      </w:r>
      <w:r>
        <w:fldChar w:fldCharType="end"/>
      </w:r>
    </w:p>
    <w:p w14:paraId="022BF784">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"_Toc152766718" </w:instrText>
      </w:r>
      <w:r>
        <w:fldChar w:fldCharType="separate"/>
      </w:r>
      <w:r>
        <w:rPr>
          <w:rStyle w:val="28"/>
        </w:rPr>
        <w:t>37</w:t>
      </w:r>
      <w:r>
        <w:rPr>
          <w:rStyle w:val="28"/>
          <w:rFonts w:hint="eastAsia"/>
        </w:rPr>
        <w:t>、违约和解除（或终止）合同</w:t>
      </w:r>
      <w:r>
        <w:tab/>
      </w:r>
      <w:r>
        <w:fldChar w:fldCharType="begin"/>
      </w:r>
      <w:r>
        <w:instrText xml:space="preserve"> PAGEREF _Toc152766718 \h </w:instrText>
      </w:r>
      <w:r>
        <w:fldChar w:fldCharType="separate"/>
      </w:r>
      <w:r>
        <w:t>15</w:t>
      </w:r>
      <w:r>
        <w:fldChar w:fldCharType="end"/>
      </w:r>
      <w:r>
        <w:fldChar w:fldCharType="end"/>
      </w:r>
    </w:p>
    <w:p w14:paraId="03F75454">
      <w:pPr>
        <w:pStyle w:val="14"/>
        <w:rPr>
          <w:rFonts w:asciiTheme="minorHAnsi" w:hAnsiTheme="minorHAnsi" w:eastAsiaTheme="minorEastAsia" w:cstheme="minorBidi"/>
          <w:b w:val="0"/>
          <w:szCs w:val="22"/>
        </w:rPr>
      </w:pPr>
      <w:r>
        <w:fldChar w:fldCharType="begin"/>
      </w:r>
      <w:r>
        <w:instrText xml:space="preserve"> HYPERLINK \l "_Toc152766719" </w:instrText>
      </w:r>
      <w:r>
        <w:fldChar w:fldCharType="separate"/>
      </w:r>
      <w:r>
        <w:rPr>
          <w:rStyle w:val="28"/>
          <w:rFonts w:hint="eastAsia"/>
        </w:rPr>
        <w:t>十一</w:t>
      </w:r>
      <w:r>
        <w:rPr>
          <w:rStyle w:val="28"/>
        </w:rPr>
        <w:t xml:space="preserve">  </w:t>
      </w:r>
      <w:r>
        <w:rPr>
          <w:rStyle w:val="28"/>
          <w:rFonts w:hint="eastAsia"/>
        </w:rPr>
        <w:t>违约责任</w:t>
      </w:r>
      <w:r>
        <w:tab/>
      </w:r>
      <w:r>
        <w:fldChar w:fldCharType="begin"/>
      </w:r>
      <w:r>
        <w:instrText xml:space="preserve"> PAGEREF _Toc152766719 \h </w:instrText>
      </w:r>
      <w:r>
        <w:fldChar w:fldCharType="separate"/>
      </w:r>
      <w:r>
        <w:t>15</w:t>
      </w:r>
      <w:r>
        <w:fldChar w:fldCharType="end"/>
      </w:r>
      <w:r>
        <w:fldChar w:fldCharType="end"/>
      </w:r>
    </w:p>
    <w:p w14:paraId="4CB32D45">
      <w:pPr>
        <w:pStyle w:val="14"/>
        <w:rPr>
          <w:rFonts w:asciiTheme="minorHAnsi" w:hAnsiTheme="minorHAnsi" w:eastAsiaTheme="minorEastAsia" w:cstheme="minorBidi"/>
          <w:b w:val="0"/>
          <w:szCs w:val="22"/>
        </w:rPr>
      </w:pPr>
      <w:r>
        <w:fldChar w:fldCharType="begin"/>
      </w:r>
      <w:r>
        <w:instrText xml:space="preserve"> HYPERLINK \l "_Toc152766720" </w:instrText>
      </w:r>
      <w:r>
        <w:fldChar w:fldCharType="separate"/>
      </w:r>
      <w:r>
        <w:rPr>
          <w:rStyle w:val="28"/>
          <w:rFonts w:hint="eastAsia"/>
        </w:rPr>
        <w:t>十二、争议解决方式</w:t>
      </w:r>
      <w:r>
        <w:tab/>
      </w:r>
      <w:r>
        <w:fldChar w:fldCharType="begin"/>
      </w:r>
      <w:r>
        <w:instrText xml:space="preserve"> PAGEREF _Toc152766720 \h </w:instrText>
      </w:r>
      <w:r>
        <w:fldChar w:fldCharType="separate"/>
      </w:r>
      <w:r>
        <w:t>15</w:t>
      </w:r>
      <w:r>
        <w:fldChar w:fldCharType="end"/>
      </w:r>
      <w:r>
        <w:fldChar w:fldCharType="end"/>
      </w:r>
    </w:p>
    <w:p w14:paraId="2EEFDBEE">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"_Toc152766721" </w:instrText>
      </w:r>
      <w:r>
        <w:fldChar w:fldCharType="separate"/>
      </w:r>
      <w:r>
        <w:rPr>
          <w:rStyle w:val="28"/>
        </w:rPr>
        <w:t>38</w:t>
      </w:r>
      <w:r>
        <w:rPr>
          <w:rStyle w:val="28"/>
          <w:rFonts w:hint="eastAsia"/>
        </w:rPr>
        <w:t>、争议解决方式</w:t>
      </w:r>
      <w:r>
        <w:tab/>
      </w:r>
      <w:r>
        <w:fldChar w:fldCharType="begin"/>
      </w:r>
      <w:r>
        <w:instrText xml:space="preserve"> PAGEREF _Toc152766721 \h </w:instrText>
      </w:r>
      <w:r>
        <w:fldChar w:fldCharType="separate"/>
      </w:r>
      <w:r>
        <w:t>15</w:t>
      </w:r>
      <w:r>
        <w:fldChar w:fldCharType="end"/>
      </w:r>
      <w:r>
        <w:fldChar w:fldCharType="end"/>
      </w:r>
    </w:p>
    <w:p w14:paraId="2DD9A5D8">
      <w:pPr>
        <w:pStyle w:val="14"/>
        <w:rPr>
          <w:rFonts w:asciiTheme="minorHAnsi" w:hAnsiTheme="minorHAnsi" w:eastAsiaTheme="minorEastAsia" w:cstheme="minorBidi"/>
          <w:b w:val="0"/>
          <w:szCs w:val="22"/>
        </w:rPr>
      </w:pPr>
      <w:r>
        <w:fldChar w:fldCharType="begin"/>
      </w:r>
      <w:r>
        <w:instrText xml:space="preserve"> HYPERLINK \l "_Toc152766722" </w:instrText>
      </w:r>
      <w:r>
        <w:fldChar w:fldCharType="separate"/>
      </w:r>
      <w:r>
        <w:rPr>
          <w:rStyle w:val="28"/>
          <w:rFonts w:hint="eastAsia"/>
        </w:rPr>
        <w:t>十三、其他</w:t>
      </w:r>
      <w:r>
        <w:tab/>
      </w:r>
      <w:r>
        <w:fldChar w:fldCharType="begin"/>
      </w:r>
      <w:r>
        <w:instrText xml:space="preserve"> PAGEREF _Toc152766722 \h </w:instrText>
      </w:r>
      <w:r>
        <w:fldChar w:fldCharType="separate"/>
      </w:r>
      <w:r>
        <w:t>15</w:t>
      </w:r>
      <w:r>
        <w:fldChar w:fldCharType="end"/>
      </w:r>
      <w:r>
        <w:fldChar w:fldCharType="end"/>
      </w:r>
    </w:p>
    <w:p w14:paraId="0303CC82">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"_Toc152766723" </w:instrText>
      </w:r>
      <w:r>
        <w:fldChar w:fldCharType="separate"/>
      </w:r>
      <w:r>
        <w:rPr>
          <w:rStyle w:val="28"/>
        </w:rPr>
        <w:t>39</w:t>
      </w:r>
      <w:r>
        <w:rPr>
          <w:rStyle w:val="28"/>
          <w:rFonts w:hint="eastAsia"/>
        </w:rPr>
        <w:t>、工程转、分包</w:t>
      </w:r>
      <w:r>
        <w:tab/>
      </w:r>
      <w:r>
        <w:fldChar w:fldCharType="begin"/>
      </w:r>
      <w:r>
        <w:instrText xml:space="preserve"> PAGEREF _Toc152766723 \h </w:instrText>
      </w:r>
      <w:r>
        <w:fldChar w:fldCharType="separate"/>
      </w:r>
      <w:r>
        <w:t>15</w:t>
      </w:r>
      <w:r>
        <w:fldChar w:fldCharType="end"/>
      </w:r>
      <w:r>
        <w:fldChar w:fldCharType="end"/>
      </w:r>
    </w:p>
    <w:p w14:paraId="692B9E51">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"_Toc152766724" </w:instrText>
      </w:r>
      <w:r>
        <w:fldChar w:fldCharType="separate"/>
      </w:r>
      <w:r>
        <w:rPr>
          <w:rStyle w:val="28"/>
        </w:rPr>
        <w:t>40</w:t>
      </w:r>
      <w:r>
        <w:rPr>
          <w:rStyle w:val="28"/>
          <w:rFonts w:hint="eastAsia"/>
        </w:rPr>
        <w:t>、不可抗力</w:t>
      </w:r>
      <w:r>
        <w:tab/>
      </w:r>
      <w:r>
        <w:fldChar w:fldCharType="begin"/>
      </w:r>
      <w:r>
        <w:instrText xml:space="preserve"> PAGEREF _Toc152766724 \h </w:instrText>
      </w:r>
      <w:r>
        <w:fldChar w:fldCharType="separate"/>
      </w:r>
      <w:r>
        <w:t>15</w:t>
      </w:r>
      <w:r>
        <w:fldChar w:fldCharType="end"/>
      </w:r>
      <w:r>
        <w:fldChar w:fldCharType="end"/>
      </w:r>
    </w:p>
    <w:p w14:paraId="34BD647F">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"_Toc152766725" </w:instrText>
      </w:r>
      <w:r>
        <w:fldChar w:fldCharType="separate"/>
      </w:r>
      <w:r>
        <w:rPr>
          <w:rStyle w:val="28"/>
        </w:rPr>
        <w:t>41</w:t>
      </w:r>
      <w:r>
        <w:rPr>
          <w:rStyle w:val="28"/>
          <w:rFonts w:hint="eastAsia"/>
        </w:rPr>
        <w:t>、保险</w:t>
      </w:r>
      <w:r>
        <w:tab/>
      </w:r>
      <w:r>
        <w:fldChar w:fldCharType="begin"/>
      </w:r>
      <w:r>
        <w:instrText xml:space="preserve"> PAGEREF _Toc152766725 \h </w:instrText>
      </w:r>
      <w:r>
        <w:fldChar w:fldCharType="separate"/>
      </w:r>
      <w:r>
        <w:t>16</w:t>
      </w:r>
      <w:r>
        <w:fldChar w:fldCharType="end"/>
      </w:r>
      <w:r>
        <w:fldChar w:fldCharType="end"/>
      </w:r>
    </w:p>
    <w:p w14:paraId="080BEDF4">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"_Toc152766726" </w:instrText>
      </w:r>
      <w:r>
        <w:fldChar w:fldCharType="separate"/>
      </w:r>
      <w:r>
        <w:rPr>
          <w:rStyle w:val="28"/>
        </w:rPr>
        <w:t>42</w:t>
      </w:r>
      <w:r>
        <w:rPr>
          <w:rStyle w:val="28"/>
          <w:rFonts w:hint="eastAsia"/>
        </w:rPr>
        <w:t>、担保</w:t>
      </w:r>
      <w:r>
        <w:tab/>
      </w:r>
      <w:r>
        <w:fldChar w:fldCharType="begin"/>
      </w:r>
      <w:r>
        <w:instrText xml:space="preserve"> PAGEREF _Toc152766726 \h </w:instrText>
      </w:r>
      <w:r>
        <w:fldChar w:fldCharType="separate"/>
      </w:r>
      <w:r>
        <w:t>16</w:t>
      </w:r>
      <w:r>
        <w:fldChar w:fldCharType="end"/>
      </w:r>
      <w:r>
        <w:fldChar w:fldCharType="end"/>
      </w:r>
    </w:p>
    <w:p w14:paraId="516A098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"_Toc152766727" </w:instrText>
      </w:r>
      <w:r>
        <w:fldChar w:fldCharType="separate"/>
      </w:r>
      <w:r>
        <w:rPr>
          <w:rStyle w:val="28"/>
        </w:rPr>
        <w:t>43</w:t>
      </w:r>
      <w:r>
        <w:rPr>
          <w:rStyle w:val="28"/>
          <w:rFonts w:hint="eastAsia"/>
        </w:rPr>
        <w:t>、专利技术及特殊工艺</w:t>
      </w:r>
      <w:r>
        <w:tab/>
      </w:r>
      <w:r>
        <w:fldChar w:fldCharType="begin"/>
      </w:r>
      <w:r>
        <w:instrText xml:space="preserve"> PAGEREF _Toc152766727 \h </w:instrText>
      </w:r>
      <w:r>
        <w:fldChar w:fldCharType="separate"/>
      </w:r>
      <w:r>
        <w:t>16</w:t>
      </w:r>
      <w:r>
        <w:fldChar w:fldCharType="end"/>
      </w:r>
      <w:r>
        <w:fldChar w:fldCharType="end"/>
      </w:r>
    </w:p>
    <w:p w14:paraId="5DC83149">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"_Toc152766728" </w:instrText>
      </w:r>
      <w:r>
        <w:fldChar w:fldCharType="separate"/>
      </w:r>
      <w:r>
        <w:rPr>
          <w:rStyle w:val="28"/>
        </w:rPr>
        <w:t>44</w:t>
      </w:r>
      <w:r>
        <w:rPr>
          <w:rStyle w:val="28"/>
          <w:rFonts w:hint="eastAsia"/>
        </w:rPr>
        <w:t>、文物和地下障碍物</w:t>
      </w:r>
      <w:r>
        <w:tab/>
      </w:r>
      <w:r>
        <w:fldChar w:fldCharType="begin"/>
      </w:r>
      <w:r>
        <w:instrText xml:space="preserve"> PAGEREF _Toc152766728 \h </w:instrText>
      </w:r>
      <w:r>
        <w:fldChar w:fldCharType="separate"/>
      </w:r>
      <w:r>
        <w:t>16</w:t>
      </w:r>
      <w:r>
        <w:fldChar w:fldCharType="end"/>
      </w:r>
      <w:r>
        <w:fldChar w:fldCharType="end"/>
      </w:r>
    </w:p>
    <w:p w14:paraId="6805FA8D">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"_Toc152766729" </w:instrText>
      </w:r>
      <w:r>
        <w:fldChar w:fldCharType="separate"/>
      </w:r>
      <w:r>
        <w:rPr>
          <w:rStyle w:val="28"/>
        </w:rPr>
        <w:t>45</w:t>
      </w:r>
      <w:r>
        <w:rPr>
          <w:rStyle w:val="28"/>
          <w:rFonts w:hint="eastAsia"/>
        </w:rPr>
        <w:t>、合同生效与终止</w:t>
      </w:r>
      <w:r>
        <w:tab/>
      </w:r>
      <w:r>
        <w:fldChar w:fldCharType="begin"/>
      </w:r>
      <w:r>
        <w:instrText xml:space="preserve"> PAGEREF _Toc152766729 \h </w:instrText>
      </w:r>
      <w:r>
        <w:fldChar w:fldCharType="separate"/>
      </w:r>
      <w:r>
        <w:t>16</w:t>
      </w:r>
      <w:r>
        <w:fldChar w:fldCharType="end"/>
      </w:r>
      <w:r>
        <w:fldChar w:fldCharType="end"/>
      </w:r>
    </w:p>
    <w:p w14:paraId="7C61107B">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"_Toc152766730" </w:instrText>
      </w:r>
      <w:r>
        <w:fldChar w:fldCharType="separate"/>
      </w:r>
      <w:r>
        <w:rPr>
          <w:rStyle w:val="28"/>
        </w:rPr>
        <w:t>46</w:t>
      </w:r>
      <w:r>
        <w:rPr>
          <w:rStyle w:val="28"/>
          <w:rFonts w:hint="eastAsia"/>
        </w:rPr>
        <w:t>、合同份数</w:t>
      </w:r>
      <w:r>
        <w:tab/>
      </w:r>
      <w:r>
        <w:fldChar w:fldCharType="begin"/>
      </w:r>
      <w:r>
        <w:instrText xml:space="preserve"> PAGEREF _Toc152766730 \h </w:instrText>
      </w:r>
      <w:r>
        <w:fldChar w:fldCharType="separate"/>
      </w:r>
      <w:r>
        <w:t>17</w:t>
      </w:r>
      <w:r>
        <w:fldChar w:fldCharType="end"/>
      </w:r>
      <w:r>
        <w:fldChar w:fldCharType="end"/>
      </w:r>
    </w:p>
    <w:p w14:paraId="27A87E99">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"_Toc152766731" </w:instrText>
      </w:r>
      <w:r>
        <w:fldChar w:fldCharType="separate"/>
      </w:r>
      <w:r>
        <w:rPr>
          <w:rStyle w:val="28"/>
        </w:rPr>
        <w:t>47</w:t>
      </w:r>
      <w:r>
        <w:rPr>
          <w:rStyle w:val="28"/>
          <w:rFonts w:hint="eastAsia"/>
        </w:rPr>
        <w:t>、合同附件及补充协议</w:t>
      </w:r>
      <w:r>
        <w:tab/>
      </w:r>
      <w:r>
        <w:fldChar w:fldCharType="begin"/>
      </w:r>
      <w:r>
        <w:instrText xml:space="preserve"> PAGEREF _Toc152766731 \h </w:instrText>
      </w:r>
      <w:r>
        <w:fldChar w:fldCharType="separate"/>
      </w:r>
      <w:r>
        <w:t>17</w:t>
      </w:r>
      <w:r>
        <w:fldChar w:fldCharType="end"/>
      </w:r>
      <w:r>
        <w:fldChar w:fldCharType="end"/>
      </w:r>
    </w:p>
    <w:p w14:paraId="3A063EF6">
      <w:pPr>
        <w:pStyle w:val="14"/>
        <w:rPr>
          <w:rFonts w:asciiTheme="minorHAnsi" w:hAnsiTheme="minorHAnsi" w:eastAsiaTheme="minorEastAsia" w:cstheme="minorBidi"/>
          <w:b w:val="0"/>
          <w:szCs w:val="22"/>
        </w:rPr>
      </w:pPr>
      <w:r>
        <w:fldChar w:fldCharType="begin"/>
      </w:r>
      <w:r>
        <w:instrText xml:space="preserve"> HYPERLINK \l "_Toc152766732" </w:instrText>
      </w:r>
      <w:r>
        <w:fldChar w:fldCharType="separate"/>
      </w:r>
      <w:r>
        <w:rPr>
          <w:rStyle w:val="28"/>
          <w:rFonts w:hint="eastAsia"/>
          <w:bCs/>
        </w:rPr>
        <w:t>第三部分　　《专用条款》</w:t>
      </w:r>
      <w:r>
        <w:tab/>
      </w:r>
      <w:r>
        <w:fldChar w:fldCharType="begin"/>
      </w:r>
      <w:r>
        <w:instrText xml:space="preserve"> PAGEREF _Toc152766732 \h </w:instrText>
      </w:r>
      <w:r>
        <w:fldChar w:fldCharType="separate"/>
      </w:r>
      <w:r>
        <w:t>18</w:t>
      </w:r>
      <w:r>
        <w:fldChar w:fldCharType="end"/>
      </w:r>
      <w:r>
        <w:fldChar w:fldCharType="end"/>
      </w:r>
    </w:p>
    <w:p w14:paraId="46763BB1">
      <w:pPr>
        <w:pStyle w:val="14"/>
        <w:rPr>
          <w:rFonts w:asciiTheme="minorHAnsi" w:hAnsiTheme="minorHAnsi" w:eastAsiaTheme="minorEastAsia" w:cstheme="minorBidi"/>
          <w:b w:val="0"/>
          <w:szCs w:val="22"/>
        </w:rPr>
      </w:pPr>
      <w:r>
        <w:fldChar w:fldCharType="begin"/>
      </w:r>
      <w:r>
        <w:instrText xml:space="preserve"> HYPERLINK \l "_Toc152766733" </w:instrText>
      </w:r>
      <w:r>
        <w:fldChar w:fldCharType="separate"/>
      </w:r>
      <w:r>
        <w:rPr>
          <w:rStyle w:val="28"/>
          <w:rFonts w:hint="eastAsia" w:eastAsia="黑体"/>
          <w:bCs/>
        </w:rPr>
        <w:t>一、词语定义及合同文件</w:t>
      </w:r>
      <w:r>
        <w:tab/>
      </w:r>
      <w:r>
        <w:fldChar w:fldCharType="begin"/>
      </w:r>
      <w:r>
        <w:instrText xml:space="preserve"> PAGEREF _Toc152766733 \h </w:instrText>
      </w:r>
      <w:r>
        <w:fldChar w:fldCharType="separate"/>
      </w:r>
      <w:r>
        <w:t>18</w:t>
      </w:r>
      <w:r>
        <w:fldChar w:fldCharType="end"/>
      </w:r>
      <w:r>
        <w:fldChar w:fldCharType="end"/>
      </w:r>
    </w:p>
    <w:p w14:paraId="6A522640">
      <w:pPr>
        <w:pStyle w:val="14"/>
        <w:rPr>
          <w:rFonts w:asciiTheme="minorHAnsi" w:hAnsiTheme="minorHAnsi" w:eastAsiaTheme="minorEastAsia" w:cstheme="minorBidi"/>
          <w:b w:val="0"/>
          <w:szCs w:val="22"/>
        </w:rPr>
      </w:pPr>
      <w:r>
        <w:fldChar w:fldCharType="begin"/>
      </w:r>
      <w:r>
        <w:instrText xml:space="preserve"> HYPERLINK \l "_Toc152766734" </w:instrText>
      </w:r>
      <w:r>
        <w:fldChar w:fldCharType="separate"/>
      </w:r>
      <w:r>
        <w:rPr>
          <w:rStyle w:val="28"/>
          <w:rFonts w:hint="eastAsia" w:eastAsia="黑体"/>
          <w:bCs/>
        </w:rPr>
        <w:t>二、双方一般权利和义务</w:t>
      </w:r>
      <w:r>
        <w:tab/>
      </w:r>
      <w:r>
        <w:fldChar w:fldCharType="begin"/>
      </w:r>
      <w:r>
        <w:instrText xml:space="preserve"> PAGEREF _Toc152766734 \h </w:instrText>
      </w:r>
      <w:r>
        <w:fldChar w:fldCharType="separate"/>
      </w:r>
      <w:r>
        <w:t>18</w:t>
      </w:r>
      <w:r>
        <w:fldChar w:fldCharType="end"/>
      </w:r>
      <w:r>
        <w:fldChar w:fldCharType="end"/>
      </w:r>
    </w:p>
    <w:p w14:paraId="50B50357">
      <w:pPr>
        <w:pStyle w:val="14"/>
        <w:rPr>
          <w:rFonts w:asciiTheme="minorHAnsi" w:hAnsiTheme="minorHAnsi" w:eastAsiaTheme="minorEastAsia" w:cstheme="minorBidi"/>
          <w:b w:val="0"/>
          <w:szCs w:val="22"/>
        </w:rPr>
      </w:pPr>
      <w:r>
        <w:fldChar w:fldCharType="begin"/>
      </w:r>
      <w:r>
        <w:instrText xml:space="preserve"> HYPERLINK \l "_Toc152766735" </w:instrText>
      </w:r>
      <w:r>
        <w:fldChar w:fldCharType="separate"/>
      </w:r>
      <w:r>
        <w:rPr>
          <w:rStyle w:val="28"/>
          <w:rFonts w:hint="eastAsia" w:eastAsia="黑体"/>
          <w:bCs/>
        </w:rPr>
        <w:t>三、施工进度和工期</w:t>
      </w:r>
      <w:r>
        <w:tab/>
      </w:r>
      <w:r>
        <w:fldChar w:fldCharType="begin"/>
      </w:r>
      <w:r>
        <w:instrText xml:space="preserve"> PAGEREF _Toc152766735 \h </w:instrText>
      </w:r>
      <w:r>
        <w:fldChar w:fldCharType="separate"/>
      </w:r>
      <w:r>
        <w:t>19</w:t>
      </w:r>
      <w:r>
        <w:fldChar w:fldCharType="end"/>
      </w:r>
      <w:r>
        <w:fldChar w:fldCharType="end"/>
      </w:r>
    </w:p>
    <w:p w14:paraId="6B9D02BD">
      <w:pPr>
        <w:pStyle w:val="14"/>
        <w:rPr>
          <w:rFonts w:asciiTheme="minorHAnsi" w:hAnsiTheme="minorHAnsi" w:eastAsiaTheme="minorEastAsia" w:cstheme="minorBidi"/>
          <w:b w:val="0"/>
          <w:szCs w:val="22"/>
        </w:rPr>
      </w:pPr>
      <w:r>
        <w:fldChar w:fldCharType="begin"/>
      </w:r>
      <w:r>
        <w:instrText xml:space="preserve"> HYPERLINK \l "_Toc152766736" </w:instrText>
      </w:r>
      <w:r>
        <w:fldChar w:fldCharType="separate"/>
      </w:r>
      <w:r>
        <w:rPr>
          <w:rStyle w:val="28"/>
          <w:rFonts w:hint="eastAsia" w:eastAsia="黑体"/>
          <w:bCs/>
        </w:rPr>
        <w:t>四、质量与检验</w:t>
      </w:r>
      <w:r>
        <w:tab/>
      </w:r>
      <w:r>
        <w:fldChar w:fldCharType="begin"/>
      </w:r>
      <w:r>
        <w:instrText xml:space="preserve"> PAGEREF _Toc152766736 \h </w:instrText>
      </w:r>
      <w:r>
        <w:fldChar w:fldCharType="separate"/>
      </w:r>
      <w:r>
        <w:t>19</w:t>
      </w:r>
      <w:r>
        <w:fldChar w:fldCharType="end"/>
      </w:r>
      <w:r>
        <w:fldChar w:fldCharType="end"/>
      </w:r>
    </w:p>
    <w:p w14:paraId="2FEAAB41">
      <w:pPr>
        <w:pStyle w:val="14"/>
        <w:rPr>
          <w:rFonts w:asciiTheme="minorHAnsi" w:hAnsiTheme="minorHAnsi" w:eastAsiaTheme="minorEastAsia" w:cstheme="minorBidi"/>
          <w:b w:val="0"/>
          <w:szCs w:val="22"/>
        </w:rPr>
      </w:pPr>
      <w:r>
        <w:fldChar w:fldCharType="begin"/>
      </w:r>
      <w:r>
        <w:instrText xml:space="preserve"> HYPERLINK \l "_Toc152766737" </w:instrText>
      </w:r>
      <w:r>
        <w:fldChar w:fldCharType="separate"/>
      </w:r>
      <w:r>
        <w:rPr>
          <w:rStyle w:val="28"/>
          <w:rFonts w:hint="eastAsia" w:eastAsia="黑体"/>
          <w:bCs/>
        </w:rPr>
        <w:t>五、安全施工</w:t>
      </w:r>
      <w:r>
        <w:tab/>
      </w:r>
      <w:r>
        <w:fldChar w:fldCharType="begin"/>
      </w:r>
      <w:r>
        <w:instrText xml:space="preserve"> PAGEREF _Toc152766737 \h </w:instrText>
      </w:r>
      <w:r>
        <w:fldChar w:fldCharType="separate"/>
      </w:r>
      <w:r>
        <w:t>19</w:t>
      </w:r>
      <w:r>
        <w:fldChar w:fldCharType="end"/>
      </w:r>
      <w:r>
        <w:fldChar w:fldCharType="end"/>
      </w:r>
    </w:p>
    <w:p w14:paraId="787DF7F2">
      <w:pPr>
        <w:pStyle w:val="14"/>
        <w:rPr>
          <w:rFonts w:asciiTheme="minorHAnsi" w:hAnsiTheme="minorHAnsi" w:eastAsiaTheme="minorEastAsia" w:cstheme="minorBidi"/>
          <w:b w:val="0"/>
          <w:szCs w:val="22"/>
        </w:rPr>
      </w:pPr>
      <w:r>
        <w:fldChar w:fldCharType="begin"/>
      </w:r>
      <w:r>
        <w:instrText xml:space="preserve"> HYPERLINK \l "_Toc152766738" </w:instrText>
      </w:r>
      <w:r>
        <w:fldChar w:fldCharType="separate"/>
      </w:r>
      <w:r>
        <w:rPr>
          <w:rStyle w:val="28"/>
          <w:rFonts w:hint="eastAsia" w:eastAsia="黑体"/>
          <w:bCs/>
        </w:rPr>
        <w:t>六、合同价款与支付</w:t>
      </w:r>
      <w:r>
        <w:tab/>
      </w:r>
      <w:r>
        <w:fldChar w:fldCharType="begin"/>
      </w:r>
      <w:r>
        <w:instrText xml:space="preserve"> PAGEREF _Toc152766738 \h </w:instrText>
      </w:r>
      <w:r>
        <w:fldChar w:fldCharType="separate"/>
      </w:r>
      <w:r>
        <w:t>20</w:t>
      </w:r>
      <w:r>
        <w:fldChar w:fldCharType="end"/>
      </w:r>
      <w:r>
        <w:fldChar w:fldCharType="end"/>
      </w:r>
    </w:p>
    <w:p w14:paraId="030B6D60">
      <w:pPr>
        <w:pStyle w:val="14"/>
        <w:rPr>
          <w:rFonts w:asciiTheme="minorHAnsi" w:hAnsiTheme="minorHAnsi" w:eastAsiaTheme="minorEastAsia" w:cstheme="minorBidi"/>
          <w:b w:val="0"/>
          <w:szCs w:val="22"/>
        </w:rPr>
      </w:pPr>
      <w:r>
        <w:fldChar w:fldCharType="begin"/>
      </w:r>
      <w:r>
        <w:instrText xml:space="preserve"> HYPERLINK \l "_Toc152766739" </w:instrText>
      </w:r>
      <w:r>
        <w:fldChar w:fldCharType="separate"/>
      </w:r>
      <w:r>
        <w:rPr>
          <w:rStyle w:val="28"/>
          <w:rFonts w:hint="eastAsia" w:eastAsia="黑体"/>
          <w:bCs/>
        </w:rPr>
        <w:t>七、材料设备供应</w:t>
      </w:r>
      <w:r>
        <w:tab/>
      </w:r>
      <w:r>
        <w:fldChar w:fldCharType="begin"/>
      </w:r>
      <w:r>
        <w:instrText xml:space="preserve"> PAGEREF _Toc152766739 \h </w:instrText>
      </w:r>
      <w:r>
        <w:fldChar w:fldCharType="separate"/>
      </w:r>
      <w:r>
        <w:t>23</w:t>
      </w:r>
      <w:r>
        <w:fldChar w:fldCharType="end"/>
      </w:r>
      <w:r>
        <w:fldChar w:fldCharType="end"/>
      </w:r>
    </w:p>
    <w:p w14:paraId="06F9D3D9">
      <w:pPr>
        <w:pStyle w:val="14"/>
        <w:rPr>
          <w:rFonts w:asciiTheme="minorHAnsi" w:hAnsiTheme="minorHAnsi" w:eastAsiaTheme="minorEastAsia" w:cstheme="minorBidi"/>
          <w:b w:val="0"/>
          <w:szCs w:val="22"/>
        </w:rPr>
      </w:pPr>
      <w:r>
        <w:fldChar w:fldCharType="begin"/>
      </w:r>
      <w:r>
        <w:instrText xml:space="preserve"> HYPERLINK \l "_Toc152766740" </w:instrText>
      </w:r>
      <w:r>
        <w:fldChar w:fldCharType="separate"/>
      </w:r>
      <w:r>
        <w:rPr>
          <w:rStyle w:val="28"/>
          <w:rFonts w:hint="eastAsia" w:eastAsia="黑体"/>
          <w:bCs/>
        </w:rPr>
        <w:t>八、竣工验收与结算</w:t>
      </w:r>
      <w:r>
        <w:tab/>
      </w:r>
      <w:r>
        <w:fldChar w:fldCharType="begin"/>
      </w:r>
      <w:r>
        <w:instrText xml:space="preserve"> PAGEREF _Toc152766740 \h </w:instrText>
      </w:r>
      <w:r>
        <w:fldChar w:fldCharType="separate"/>
      </w:r>
      <w:r>
        <w:t>23</w:t>
      </w:r>
      <w:r>
        <w:fldChar w:fldCharType="end"/>
      </w:r>
      <w:r>
        <w:fldChar w:fldCharType="end"/>
      </w:r>
    </w:p>
    <w:p w14:paraId="6A1F511D">
      <w:pPr>
        <w:pStyle w:val="14"/>
        <w:rPr>
          <w:rFonts w:asciiTheme="minorHAnsi" w:hAnsiTheme="minorHAnsi" w:eastAsiaTheme="minorEastAsia" w:cstheme="minorBidi"/>
          <w:b w:val="0"/>
          <w:szCs w:val="22"/>
        </w:rPr>
      </w:pPr>
      <w:r>
        <w:fldChar w:fldCharType="begin"/>
      </w:r>
      <w:r>
        <w:instrText xml:space="preserve"> HYPERLINK \l "_Toc152766741" </w:instrText>
      </w:r>
      <w:r>
        <w:fldChar w:fldCharType="separate"/>
      </w:r>
      <w:r>
        <w:rPr>
          <w:rStyle w:val="28"/>
          <w:rFonts w:hint="eastAsia" w:eastAsia="黑体"/>
          <w:bCs/>
        </w:rPr>
        <w:t>九、违约责任</w:t>
      </w:r>
      <w:r>
        <w:tab/>
      </w:r>
      <w:r>
        <w:fldChar w:fldCharType="begin"/>
      </w:r>
      <w:r>
        <w:instrText xml:space="preserve"> PAGEREF _Toc152766741 \h </w:instrText>
      </w:r>
      <w:r>
        <w:fldChar w:fldCharType="separate"/>
      </w:r>
      <w:r>
        <w:t>23</w:t>
      </w:r>
      <w:r>
        <w:fldChar w:fldCharType="end"/>
      </w:r>
      <w:r>
        <w:fldChar w:fldCharType="end"/>
      </w:r>
    </w:p>
    <w:p w14:paraId="64C63A33">
      <w:pPr>
        <w:pStyle w:val="14"/>
        <w:rPr>
          <w:rFonts w:asciiTheme="minorHAnsi" w:hAnsiTheme="minorHAnsi" w:eastAsiaTheme="minorEastAsia" w:cstheme="minorBidi"/>
          <w:b w:val="0"/>
          <w:szCs w:val="22"/>
        </w:rPr>
      </w:pPr>
      <w:r>
        <w:fldChar w:fldCharType="begin"/>
      </w:r>
      <w:r>
        <w:instrText xml:space="preserve"> HYPERLINK \l "_Toc152766742" </w:instrText>
      </w:r>
      <w:r>
        <w:fldChar w:fldCharType="separate"/>
      </w:r>
      <w:r>
        <w:rPr>
          <w:rStyle w:val="28"/>
          <w:rFonts w:hint="eastAsia" w:eastAsia="黑体"/>
          <w:bCs/>
        </w:rPr>
        <w:t>十、其他</w:t>
      </w:r>
      <w:r>
        <w:tab/>
      </w:r>
      <w:r>
        <w:fldChar w:fldCharType="begin"/>
      </w:r>
      <w:r>
        <w:instrText xml:space="preserve"> PAGEREF _Toc152766742 \h </w:instrText>
      </w:r>
      <w:r>
        <w:fldChar w:fldCharType="separate"/>
      </w:r>
      <w:r>
        <w:t>24</w:t>
      </w:r>
      <w:r>
        <w:fldChar w:fldCharType="end"/>
      </w:r>
      <w:r>
        <w:fldChar w:fldCharType="end"/>
      </w:r>
    </w:p>
    <w:p w14:paraId="1FA4D74A">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"_Toc152766743" </w:instrText>
      </w:r>
      <w:r>
        <w:fldChar w:fldCharType="separate"/>
      </w:r>
      <w:r>
        <w:rPr>
          <w:rStyle w:val="28"/>
          <w:rFonts w:hint="eastAsia"/>
        </w:rPr>
        <w:t>附件</w:t>
      </w:r>
      <w:r>
        <w:rPr>
          <w:rStyle w:val="28"/>
        </w:rPr>
        <w:t xml:space="preserve">1 </w:t>
      </w:r>
      <w:r>
        <w:rPr>
          <w:rStyle w:val="28"/>
          <w:rFonts w:hint="eastAsia"/>
        </w:rPr>
        <w:t>乙方承揽的合同工程内容</w:t>
      </w:r>
      <w:r>
        <w:tab/>
      </w:r>
      <w:r>
        <w:fldChar w:fldCharType="begin"/>
      </w:r>
      <w:r>
        <w:instrText xml:space="preserve"> PAGEREF _Toc152766743 \h </w:instrText>
      </w:r>
      <w:r>
        <w:fldChar w:fldCharType="separate"/>
      </w:r>
      <w:r>
        <w:t>25</w:t>
      </w:r>
      <w:r>
        <w:fldChar w:fldCharType="end"/>
      </w:r>
      <w:r>
        <w:fldChar w:fldCharType="end"/>
      </w:r>
    </w:p>
    <w:p w14:paraId="2998E4D6">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"_Toc152766744" </w:instrText>
      </w:r>
      <w:r>
        <w:fldChar w:fldCharType="separate"/>
      </w:r>
      <w:r>
        <w:rPr>
          <w:rStyle w:val="28"/>
          <w:rFonts w:hint="eastAsia"/>
        </w:rPr>
        <w:t>附件</w:t>
      </w:r>
      <w:r>
        <w:rPr>
          <w:rStyle w:val="28"/>
        </w:rPr>
        <w:t xml:space="preserve">2 </w:t>
      </w:r>
      <w:r>
        <w:rPr>
          <w:rStyle w:val="28"/>
          <w:rFonts w:hint="eastAsia"/>
        </w:rPr>
        <w:t>合同工程的分项价格表</w:t>
      </w:r>
      <w:r>
        <w:tab/>
      </w:r>
      <w:r>
        <w:fldChar w:fldCharType="end"/>
      </w:r>
    </w:p>
    <w:p w14:paraId="60E4FF2C">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"_Toc152766745" </w:instrText>
      </w:r>
      <w:r>
        <w:fldChar w:fldCharType="separate"/>
      </w:r>
      <w:r>
        <w:rPr>
          <w:rStyle w:val="28"/>
          <w:rFonts w:hint="eastAsia"/>
        </w:rPr>
        <w:t>附件</w:t>
      </w:r>
      <w:r>
        <w:rPr>
          <w:rStyle w:val="28"/>
        </w:rPr>
        <w:t xml:space="preserve">3 </w:t>
      </w:r>
      <w:r>
        <w:rPr>
          <w:rStyle w:val="28"/>
          <w:rFonts w:hint="eastAsia"/>
        </w:rPr>
        <w:t>工程质量保修书</w:t>
      </w:r>
      <w:r>
        <w:tab/>
      </w:r>
      <w:r>
        <w:fldChar w:fldCharType="begin"/>
      </w:r>
      <w:r>
        <w:instrText xml:space="preserve"> PAGEREF _Toc152766745 \h </w:instrText>
      </w:r>
      <w:r>
        <w:fldChar w:fldCharType="separate"/>
      </w:r>
      <w:r>
        <w:t>30</w:t>
      </w:r>
      <w:r>
        <w:fldChar w:fldCharType="end"/>
      </w:r>
      <w:r>
        <w:fldChar w:fldCharType="end"/>
      </w:r>
    </w:p>
    <w:p w14:paraId="1F354457">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"_Toc152766746" </w:instrText>
      </w:r>
      <w:r>
        <w:fldChar w:fldCharType="separate"/>
      </w:r>
      <w:r>
        <w:rPr>
          <w:rStyle w:val="28"/>
          <w:rFonts w:hint="eastAsia"/>
        </w:rPr>
        <w:t>附件</w:t>
      </w:r>
      <w:r>
        <w:rPr>
          <w:rStyle w:val="28"/>
        </w:rPr>
        <w:t xml:space="preserve">4 </w:t>
      </w:r>
      <w:r>
        <w:rPr>
          <w:rStyle w:val="28"/>
          <w:rFonts w:hint="eastAsia"/>
        </w:rPr>
        <w:t>健康安全协议</w:t>
      </w:r>
      <w:r>
        <w:tab/>
      </w:r>
      <w:r>
        <w:fldChar w:fldCharType="begin"/>
      </w:r>
      <w:r>
        <w:instrText xml:space="preserve"> PAGEREF _Toc152766746 \h </w:instrText>
      </w:r>
      <w:r>
        <w:fldChar w:fldCharType="separate"/>
      </w:r>
      <w:r>
        <w:t>31</w:t>
      </w:r>
      <w:r>
        <w:fldChar w:fldCharType="end"/>
      </w:r>
      <w:r>
        <w:fldChar w:fldCharType="end"/>
      </w:r>
    </w:p>
    <w:p w14:paraId="4C7BE69F">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"_Toc152766747" </w:instrText>
      </w:r>
      <w:r>
        <w:fldChar w:fldCharType="separate"/>
      </w:r>
      <w:r>
        <w:rPr>
          <w:rStyle w:val="28"/>
          <w:rFonts w:hint="eastAsia" w:asciiTheme="majorHAnsi" w:hAnsiTheme="majorHAnsi"/>
        </w:rPr>
        <w:t>附件</w:t>
      </w:r>
      <w:r>
        <w:rPr>
          <w:rStyle w:val="28"/>
          <w:rFonts w:asciiTheme="majorHAnsi" w:hAnsiTheme="majorHAnsi"/>
        </w:rPr>
        <w:t>5</w:t>
      </w:r>
      <w:r>
        <w:rPr>
          <w:rStyle w:val="28"/>
        </w:rPr>
        <w:t xml:space="preserve"> </w:t>
      </w:r>
      <w:r>
        <w:rPr>
          <w:rStyle w:val="28"/>
          <w:rFonts w:hint="eastAsia"/>
        </w:rPr>
        <w:t>供应商商业道德行为准则</w:t>
      </w:r>
      <w:r>
        <w:tab/>
      </w:r>
      <w:r>
        <w:fldChar w:fldCharType="begin"/>
      </w:r>
      <w:r>
        <w:instrText xml:space="preserve"> PAGEREF _Toc152766747 \h </w:instrText>
      </w:r>
      <w:r>
        <w:fldChar w:fldCharType="separate"/>
      </w:r>
      <w:r>
        <w:t>35</w:t>
      </w:r>
      <w:r>
        <w:fldChar w:fldCharType="end"/>
      </w:r>
      <w:r>
        <w:fldChar w:fldCharType="end"/>
      </w:r>
    </w:p>
    <w:p w14:paraId="5CB68A4D">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"_Toc152766748" </w:instrText>
      </w:r>
      <w:r>
        <w:fldChar w:fldCharType="separate"/>
      </w:r>
      <w:r>
        <w:rPr>
          <w:rStyle w:val="28"/>
          <w:rFonts w:hint="eastAsia"/>
        </w:rPr>
        <w:t>附件</w:t>
      </w:r>
      <w:r>
        <w:rPr>
          <w:rStyle w:val="28"/>
        </w:rPr>
        <w:t xml:space="preserve">6 </w:t>
      </w:r>
      <w:r>
        <w:rPr>
          <w:rStyle w:val="28"/>
          <w:rFonts w:hint="eastAsia"/>
        </w:rPr>
        <w:t>廉政协议书</w:t>
      </w:r>
      <w:r>
        <w:tab/>
      </w:r>
      <w:r>
        <w:fldChar w:fldCharType="begin"/>
      </w:r>
      <w:r>
        <w:instrText xml:space="preserve"> PAGEREF _Toc152766748 \h </w:instrText>
      </w:r>
      <w:r>
        <w:fldChar w:fldCharType="separate"/>
      </w:r>
      <w:r>
        <w:t>36</w:t>
      </w:r>
      <w:r>
        <w:fldChar w:fldCharType="end"/>
      </w:r>
      <w:r>
        <w:fldChar w:fldCharType="end"/>
      </w:r>
    </w:p>
    <w:p w14:paraId="3C690E18">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"_Toc152766749" </w:instrText>
      </w:r>
      <w:r>
        <w:fldChar w:fldCharType="separate"/>
      </w:r>
      <w:r>
        <w:rPr>
          <w:rStyle w:val="28"/>
          <w:rFonts w:hint="eastAsia"/>
        </w:rPr>
        <w:t>附件</w:t>
      </w:r>
      <w:r>
        <w:rPr>
          <w:rStyle w:val="28"/>
        </w:rPr>
        <w:t xml:space="preserve">7 </w:t>
      </w:r>
      <w:r>
        <w:rPr>
          <w:rStyle w:val="28"/>
          <w:rFonts w:hint="eastAsia"/>
        </w:rPr>
        <w:t>甲方安全标准及安全管理分类</w:t>
      </w:r>
      <w:r>
        <w:tab/>
      </w:r>
      <w:r>
        <w:fldChar w:fldCharType="begin"/>
      </w:r>
      <w:r>
        <w:instrText xml:space="preserve"> PAGEREF _Toc152766749 \h </w:instrText>
      </w:r>
      <w:r>
        <w:fldChar w:fldCharType="separate"/>
      </w:r>
      <w:r>
        <w:t>38</w:t>
      </w:r>
      <w:r>
        <w:fldChar w:fldCharType="end"/>
      </w:r>
      <w:r>
        <w:fldChar w:fldCharType="end"/>
      </w:r>
    </w:p>
    <w:p w14:paraId="0A8706BD">
      <w:pPr>
        <w:pStyle w:val="18"/>
        <w:tabs>
          <w:tab w:val="right" w:leader="dot" w:pos="8302"/>
        </w:tabs>
        <w:rPr>
          <w:rFonts w:asciiTheme="minorHAnsi" w:hAnsiTheme="minorHAnsi" w:eastAsiaTheme="minorEastAsia" w:cstheme="minorBidi"/>
          <w:szCs w:val="22"/>
        </w:rPr>
      </w:pPr>
      <w:r>
        <w:fldChar w:fldCharType="begin"/>
      </w:r>
      <w:r>
        <w:instrText xml:space="preserve"> HYPERLINK \l "_Toc152766750" </w:instrText>
      </w:r>
      <w:r>
        <w:fldChar w:fldCharType="separate"/>
      </w:r>
      <w:r>
        <w:rPr>
          <w:rStyle w:val="28"/>
          <w:rFonts w:hint="eastAsia"/>
        </w:rPr>
        <w:t>附件</w:t>
      </w:r>
      <w:r>
        <w:rPr>
          <w:rStyle w:val="28"/>
        </w:rPr>
        <w:t xml:space="preserve">8 </w:t>
      </w:r>
      <w:r>
        <w:rPr>
          <w:rStyle w:val="28"/>
          <w:rFonts w:hint="eastAsia"/>
        </w:rPr>
        <w:t>安全、文明施工管理规定</w:t>
      </w:r>
      <w:r>
        <w:tab/>
      </w:r>
      <w:r>
        <w:fldChar w:fldCharType="begin"/>
      </w:r>
      <w:r>
        <w:instrText xml:space="preserve"> PAGEREF _Toc152766750 \h </w:instrText>
      </w:r>
      <w:r>
        <w:fldChar w:fldCharType="separate"/>
      </w:r>
      <w:r>
        <w:t>40</w:t>
      </w:r>
      <w:r>
        <w:fldChar w:fldCharType="end"/>
      </w:r>
      <w:r>
        <w:fldChar w:fldCharType="end"/>
      </w:r>
    </w:p>
    <w:p w14:paraId="5ACC5364">
      <w:pPr>
        <w:pStyle w:val="20"/>
        <w:widowControl w:val="0"/>
        <w:adjustRightInd w:val="0"/>
        <w:snapToGrid w:val="0"/>
        <w:spacing w:before="0" w:beforeAutospacing="0" w:after="0" w:afterAutospacing="0"/>
        <w:rPr>
          <w:rFonts w:hint="default" w:asciiTheme="minorEastAsia" w:hAnsiTheme="minorEastAsia" w:eastAsiaTheme="minorEastAsia"/>
          <w:kern w:val="2"/>
        </w:rPr>
      </w:pPr>
      <w:r>
        <w:rPr>
          <w:rFonts w:hint="default" w:asciiTheme="minorEastAsia" w:hAnsiTheme="minorEastAsia" w:eastAsiaTheme="minorEastAsia"/>
          <w:kern w:val="2"/>
        </w:rPr>
        <w:fldChar w:fldCharType="end"/>
      </w:r>
    </w:p>
    <w:p w14:paraId="5A71F188">
      <w:pPr>
        <w:adjustRightInd w:val="0"/>
        <w:snapToGrid w:val="0"/>
        <w:jc w:val="center"/>
        <w:outlineLvl w:val="0"/>
        <w:rPr>
          <w:sz w:val="28"/>
          <w:szCs w:val="28"/>
        </w:rPr>
      </w:pPr>
      <w:bookmarkStart w:id="0" w:name="_Toc152766663"/>
      <w:r>
        <w:rPr>
          <w:b/>
          <w:bCs/>
          <w:sz w:val="28"/>
          <w:szCs w:val="28"/>
        </w:rPr>
        <w:t>第一部分　　协议书</w:t>
      </w:r>
      <w:bookmarkEnd w:id="0"/>
    </w:p>
    <w:p w14:paraId="0ADF4183">
      <w:pPr>
        <w:pStyle w:val="20"/>
        <w:adjustRightInd w:val="0"/>
        <w:snapToGrid w:val="0"/>
        <w:spacing w:before="0" w:beforeAutospacing="0" w:after="0" w:afterAutospacing="0" w:line="360" w:lineRule="auto"/>
        <w:ind w:firstLine="240" w:firstLineChars="100"/>
        <w:rPr>
          <w:rFonts w:hint="default"/>
          <w:szCs w:val="18"/>
        </w:rPr>
      </w:pPr>
    </w:p>
    <w:p w14:paraId="5958A5D8">
      <w:pPr>
        <w:pStyle w:val="20"/>
        <w:adjustRightInd w:val="0"/>
        <w:snapToGrid w:val="0"/>
        <w:spacing w:before="0" w:beforeAutospacing="0" w:after="0" w:afterAutospacing="0" w:line="360" w:lineRule="auto"/>
        <w:ind w:firstLine="240" w:firstLineChars="100"/>
        <w:rPr>
          <w:rFonts w:hint="default"/>
          <w:szCs w:val="18"/>
        </w:rPr>
      </w:pPr>
      <w:r>
        <w:rPr>
          <w:szCs w:val="18"/>
        </w:rPr>
        <w:t>甲方（全称）：</w:t>
      </w:r>
      <w:r>
        <w:rPr>
          <w:bCs/>
          <w:u w:val="single"/>
          <w:lang w:val="en-GB"/>
        </w:rPr>
        <w:t xml:space="preserve">                            </w:t>
      </w:r>
      <w:r>
        <w:rPr>
          <w:bCs/>
          <w:lang w:val="en-GB"/>
        </w:rPr>
        <w:t xml:space="preserve">  </w:t>
      </w:r>
      <w:r>
        <w:rPr>
          <w:szCs w:val="18"/>
        </w:rPr>
        <w:t>（以下简称甲方）</w:t>
      </w:r>
    </w:p>
    <w:p w14:paraId="1F79D6DA">
      <w:pPr>
        <w:pStyle w:val="20"/>
        <w:adjustRightInd w:val="0"/>
        <w:snapToGrid w:val="0"/>
        <w:spacing w:before="0" w:beforeAutospacing="0" w:after="0" w:afterAutospacing="0" w:line="360" w:lineRule="auto"/>
        <w:ind w:firstLine="240" w:firstLineChars="100"/>
        <w:rPr>
          <w:rFonts w:hint="default"/>
          <w:szCs w:val="18"/>
        </w:rPr>
      </w:pPr>
      <w:r>
        <w:rPr>
          <w:szCs w:val="18"/>
        </w:rPr>
        <w:t>乙方（全称）：</w:t>
      </w:r>
      <w:r>
        <w:rPr>
          <w:rFonts w:cs="Arial"/>
          <w:u w:val="single"/>
        </w:rPr>
        <w:t xml:space="preserve">                        </w:t>
      </w:r>
      <w:r>
        <w:rPr>
          <w:szCs w:val="18"/>
        </w:rPr>
        <w:t xml:space="preserve">      （以下简称乙方）</w:t>
      </w:r>
    </w:p>
    <w:p w14:paraId="1CC97608">
      <w:pPr>
        <w:pStyle w:val="20"/>
        <w:adjustRightInd w:val="0"/>
        <w:snapToGrid w:val="0"/>
        <w:spacing w:before="0" w:beforeAutospacing="0" w:after="0" w:afterAutospacing="0" w:line="360" w:lineRule="auto"/>
        <w:ind w:firstLine="480" w:firstLineChars="200"/>
        <w:rPr>
          <w:rFonts w:hint="default"/>
          <w:szCs w:val="18"/>
        </w:rPr>
      </w:pPr>
      <w:r>
        <w:rPr>
          <w:szCs w:val="18"/>
        </w:rPr>
        <w:t xml:space="preserve">依照《中华人民共和国民法典》、《中华人民共和国建筑法》及其他有关法律、行政法规、遵循平等、自愿、公平和诚实信用的原则，双方就本建设工程施工项协商一致，订立本合同。 </w:t>
      </w:r>
    </w:p>
    <w:p w14:paraId="33B88659">
      <w:pPr>
        <w:pStyle w:val="20"/>
        <w:adjustRightInd w:val="0"/>
        <w:snapToGrid w:val="0"/>
        <w:spacing w:before="0" w:beforeAutospacing="0" w:after="0" w:afterAutospacing="0" w:line="360" w:lineRule="auto"/>
        <w:outlineLvl w:val="0"/>
        <w:rPr>
          <w:rFonts w:hint="default" w:eastAsia="黑体"/>
          <w:b/>
          <w:bCs/>
          <w:szCs w:val="18"/>
        </w:rPr>
      </w:pPr>
      <w:bookmarkStart w:id="1" w:name="_Toc152766664"/>
      <w:r>
        <w:rPr>
          <w:rFonts w:eastAsia="黑体"/>
          <w:b/>
          <w:bCs/>
          <w:szCs w:val="18"/>
        </w:rPr>
        <w:t>一、工程概况</w:t>
      </w:r>
      <w:bookmarkEnd w:id="1"/>
    </w:p>
    <w:p w14:paraId="70963EEA">
      <w:pPr>
        <w:pStyle w:val="20"/>
        <w:adjustRightInd w:val="0"/>
        <w:snapToGrid w:val="0"/>
        <w:spacing w:before="0" w:beforeAutospacing="0" w:after="0" w:afterAutospacing="0"/>
        <w:ind w:left="1260" w:leftChars="29" w:hanging="1200" w:hangingChars="500"/>
        <w:jc w:val="both"/>
        <w:rPr>
          <w:rFonts w:hint="default"/>
          <w:szCs w:val="18"/>
          <w:u w:val="single"/>
        </w:rPr>
      </w:pPr>
      <w:r>
        <w:rPr>
          <w:szCs w:val="18"/>
        </w:rPr>
        <w:t>工程名称：</w:t>
      </w:r>
      <w:r>
        <w:rPr>
          <w:szCs w:val="18"/>
          <w:u w:val="single"/>
        </w:rPr>
        <w:t xml:space="preserve">                                      </w:t>
      </w:r>
    </w:p>
    <w:p w14:paraId="2DF813AA">
      <w:pPr>
        <w:pStyle w:val="20"/>
        <w:adjustRightInd w:val="0"/>
        <w:snapToGrid w:val="0"/>
        <w:spacing w:before="0" w:beforeAutospacing="0" w:after="0" w:afterAutospacing="0"/>
        <w:ind w:left="1260" w:leftChars="29" w:hanging="1200" w:hangingChars="500"/>
        <w:jc w:val="both"/>
        <w:rPr>
          <w:szCs w:val="18"/>
          <w:u w:val="single"/>
        </w:rPr>
      </w:pPr>
      <w:r>
        <w:rPr>
          <w:szCs w:val="18"/>
        </w:rPr>
        <w:t>工程地点：</w:t>
      </w:r>
      <w:r>
        <w:rPr>
          <w:szCs w:val="18"/>
          <w:u w:val="single"/>
        </w:rPr>
        <w:t xml:space="preserve">                                      </w:t>
      </w:r>
    </w:p>
    <w:p w14:paraId="4C1AF0E2">
      <w:pPr>
        <w:pStyle w:val="20"/>
        <w:adjustRightInd w:val="0"/>
        <w:snapToGrid w:val="0"/>
        <w:spacing w:before="0" w:beforeAutospacing="0" w:after="0" w:afterAutospacing="0"/>
        <w:ind w:left="1260" w:leftChars="29" w:hanging="1200" w:hangingChars="500"/>
        <w:jc w:val="both"/>
        <w:rPr>
          <w:rFonts w:hint="default"/>
          <w:szCs w:val="18"/>
          <w:u w:val="single"/>
        </w:rPr>
      </w:pPr>
    </w:p>
    <w:p w14:paraId="3C6F9263">
      <w:pPr>
        <w:pStyle w:val="20"/>
        <w:adjustRightInd w:val="0"/>
        <w:snapToGrid w:val="0"/>
        <w:spacing w:before="0" w:beforeAutospacing="0" w:after="0" w:afterAutospacing="0" w:line="360" w:lineRule="auto"/>
        <w:ind w:left="1084" w:hanging="1080" w:hangingChars="450"/>
        <w:rPr>
          <w:rFonts w:hint="default" w:eastAsia="黑体"/>
          <w:b/>
          <w:bCs/>
          <w:szCs w:val="18"/>
        </w:rPr>
      </w:pPr>
      <w:r>
        <w:rPr>
          <w:rFonts w:eastAsia="黑体"/>
          <w:b/>
          <w:bCs/>
          <w:szCs w:val="18"/>
        </w:rPr>
        <w:t xml:space="preserve">二、合同工程的承包内容 </w:t>
      </w:r>
    </w:p>
    <w:p w14:paraId="7541B1EC">
      <w:pPr>
        <w:pStyle w:val="20"/>
        <w:adjustRightInd w:val="0"/>
        <w:snapToGrid w:val="0"/>
        <w:spacing w:before="0" w:beforeAutospacing="0" w:after="0" w:afterAutospacing="0" w:line="360" w:lineRule="auto"/>
        <w:ind w:left="1080" w:hanging="1080" w:hangingChars="450"/>
        <w:rPr>
          <w:rFonts w:hint="default"/>
        </w:rPr>
      </w:pPr>
      <w:r>
        <w:rPr>
          <w:rFonts w:hint="default"/>
          <w:highlight w:val="yellow"/>
        </w:rPr>
        <w:t>填写招选</w:t>
      </w:r>
      <w:r>
        <w:rPr>
          <w:highlight w:val="yellow"/>
        </w:rPr>
        <w:t>（竞拍）的工作内容。</w:t>
      </w:r>
    </w:p>
    <w:p w14:paraId="7D7FCE83">
      <w:pPr>
        <w:pStyle w:val="20"/>
        <w:adjustRightInd w:val="0"/>
        <w:snapToGrid w:val="0"/>
        <w:spacing w:before="0" w:beforeAutospacing="0" w:after="0" w:afterAutospacing="0" w:line="360" w:lineRule="auto"/>
        <w:ind w:left="1084" w:hanging="1080" w:hangingChars="450"/>
        <w:rPr>
          <w:rFonts w:hint="default" w:eastAsia="黑体"/>
          <w:b/>
          <w:bCs/>
          <w:szCs w:val="18"/>
        </w:rPr>
      </w:pPr>
    </w:p>
    <w:p w14:paraId="75FA792A">
      <w:pPr>
        <w:pStyle w:val="20"/>
        <w:adjustRightInd w:val="0"/>
        <w:snapToGrid w:val="0"/>
        <w:spacing w:before="0" w:beforeAutospacing="0" w:after="0" w:afterAutospacing="0" w:line="360" w:lineRule="auto"/>
        <w:outlineLvl w:val="0"/>
        <w:rPr>
          <w:rFonts w:hint="default" w:eastAsia="黑体"/>
          <w:b/>
          <w:bCs/>
          <w:szCs w:val="18"/>
        </w:rPr>
      </w:pPr>
      <w:bookmarkStart w:id="2" w:name="_Toc152766665"/>
      <w:r>
        <w:rPr>
          <w:rFonts w:eastAsia="黑体"/>
          <w:b/>
          <w:bCs/>
          <w:szCs w:val="18"/>
        </w:rPr>
        <w:t>三、合同工期</w:t>
      </w:r>
      <w:bookmarkEnd w:id="2"/>
    </w:p>
    <w:p w14:paraId="3AFE6C11">
      <w:pPr>
        <w:pStyle w:val="20"/>
        <w:adjustRightInd w:val="0"/>
        <w:snapToGrid w:val="0"/>
        <w:spacing w:before="0" w:beforeAutospacing="0" w:after="0" w:afterAutospacing="0" w:line="360" w:lineRule="auto"/>
        <w:ind w:firstLine="480" w:firstLineChars="200"/>
        <w:rPr>
          <w:rFonts w:hint="default"/>
          <w:szCs w:val="18"/>
        </w:rPr>
      </w:pPr>
      <w:r>
        <w:t>本合同工程施工总工期为</w:t>
      </w:r>
      <w:r>
        <w:rPr>
          <w:u w:val="single"/>
        </w:rPr>
        <w:t xml:space="preserve"> </w:t>
      </w:r>
      <w:r>
        <w:rPr>
          <w:highlight w:val="yellow"/>
          <w:u w:val="single"/>
        </w:rPr>
        <w:t>X</w:t>
      </w:r>
      <w:r>
        <w:rPr>
          <w:u w:val="single"/>
        </w:rPr>
        <w:t xml:space="preserve"> </w:t>
      </w:r>
      <w:r>
        <w:t>天，具体开工日期以甲方签字确认的开工报告及乙方施工条件验收通过为准。若非乙方原因而影响工期，则经甲方及监理现场代表签证认可后工期顺延。除发生不可抗力或经甲方确认的增加工程量外，乙方不得以任何理由顺延及延误工期。</w:t>
      </w:r>
      <w:r>
        <w:rPr>
          <w:szCs w:val="18"/>
        </w:rPr>
        <w:t xml:space="preserve">  </w:t>
      </w:r>
    </w:p>
    <w:p w14:paraId="339D5547">
      <w:pPr>
        <w:pStyle w:val="20"/>
        <w:adjustRightInd w:val="0"/>
        <w:snapToGrid w:val="0"/>
        <w:spacing w:before="0" w:beforeAutospacing="0" w:after="0" w:afterAutospacing="0" w:line="360" w:lineRule="auto"/>
        <w:ind w:firstLine="480" w:firstLineChars="200"/>
        <w:rPr>
          <w:rFonts w:hint="default"/>
          <w:szCs w:val="18"/>
        </w:rPr>
      </w:pPr>
      <w:r>
        <w:rPr>
          <w:szCs w:val="18"/>
        </w:rPr>
        <w:t>乙方应积极配合甲方要求，首先完成需要移交设备安装的施工部位，确保设备安装按期交接。</w:t>
      </w:r>
    </w:p>
    <w:p w14:paraId="39381D86">
      <w:pPr>
        <w:pStyle w:val="20"/>
        <w:adjustRightInd w:val="0"/>
        <w:snapToGrid w:val="0"/>
        <w:spacing w:before="0" w:beforeAutospacing="0" w:after="0" w:afterAutospacing="0" w:line="360" w:lineRule="auto"/>
        <w:outlineLvl w:val="0"/>
        <w:rPr>
          <w:rFonts w:hint="default" w:eastAsia="黑体"/>
          <w:b/>
          <w:bCs/>
          <w:szCs w:val="18"/>
        </w:rPr>
      </w:pPr>
      <w:bookmarkStart w:id="3" w:name="_Toc152766666"/>
      <w:r>
        <w:rPr>
          <w:rFonts w:eastAsia="黑体"/>
          <w:b/>
          <w:bCs/>
          <w:szCs w:val="18"/>
        </w:rPr>
        <w:t>四、质量标准</w:t>
      </w:r>
      <w:bookmarkEnd w:id="3"/>
    </w:p>
    <w:p w14:paraId="40282044">
      <w:pPr>
        <w:pStyle w:val="20"/>
        <w:adjustRightInd w:val="0"/>
        <w:snapToGrid w:val="0"/>
        <w:spacing w:before="0" w:beforeAutospacing="0" w:after="0" w:afterAutospacing="0" w:line="360" w:lineRule="auto"/>
        <w:ind w:firstLine="480" w:firstLineChars="200"/>
        <w:rPr>
          <w:rFonts w:hint="default" w:ascii="黑体"/>
          <w:b/>
          <w:bCs/>
          <w:szCs w:val="18"/>
        </w:rPr>
      </w:pPr>
      <w:r>
        <w:rPr>
          <w:szCs w:val="18"/>
        </w:rPr>
        <w:t>工程质量标准：按国家现行有关质量标准、验收规范及设计文件要求100%合格。</w:t>
      </w:r>
    </w:p>
    <w:p w14:paraId="18B349D7">
      <w:pPr>
        <w:pStyle w:val="20"/>
        <w:adjustRightInd w:val="0"/>
        <w:snapToGrid w:val="0"/>
        <w:spacing w:before="0" w:beforeAutospacing="0" w:after="0" w:afterAutospacing="0" w:line="360" w:lineRule="auto"/>
        <w:outlineLvl w:val="0"/>
        <w:rPr>
          <w:rFonts w:hint="default" w:eastAsia="黑体"/>
          <w:b/>
          <w:bCs/>
          <w:szCs w:val="18"/>
        </w:rPr>
      </w:pPr>
      <w:bookmarkStart w:id="4" w:name="_Toc152766667"/>
      <w:r>
        <w:rPr>
          <w:rFonts w:eastAsia="黑体"/>
          <w:b/>
          <w:bCs/>
          <w:szCs w:val="18"/>
        </w:rPr>
        <w:t>五、合同价款</w:t>
      </w:r>
      <w:bookmarkEnd w:id="4"/>
      <w:r>
        <w:rPr>
          <w:rFonts w:eastAsia="黑体"/>
          <w:b/>
          <w:bCs/>
          <w:szCs w:val="18"/>
        </w:rPr>
        <w:t xml:space="preserve"> </w:t>
      </w:r>
    </w:p>
    <w:p w14:paraId="36C9F489">
      <w:pPr>
        <w:pStyle w:val="20"/>
        <w:adjustRightInd w:val="0"/>
        <w:snapToGrid w:val="0"/>
        <w:spacing w:before="0" w:beforeAutospacing="0" w:after="0" w:afterAutospacing="0" w:line="360" w:lineRule="auto"/>
        <w:ind w:firstLine="480" w:firstLineChars="200"/>
        <w:rPr>
          <w:rFonts w:hint="default" w:eastAsia="宋体"/>
          <w:szCs w:val="18"/>
          <w:lang w:val="en-US" w:eastAsia="zh-CN"/>
        </w:rPr>
      </w:pPr>
      <w:r>
        <w:rPr>
          <w:szCs w:val="18"/>
        </w:rPr>
        <w:t>本合同工程总价（含税）为： 人民币：</w:t>
      </w:r>
      <w:r>
        <w:rPr>
          <w:szCs w:val="18"/>
          <w:highlight w:val="yellow"/>
          <w:u w:val="single"/>
        </w:rPr>
        <w:t>XXXX</w:t>
      </w:r>
      <w:r>
        <w:rPr>
          <w:szCs w:val="18"/>
        </w:rPr>
        <w:t>元，即大写：</w:t>
      </w:r>
      <w:r>
        <w:rPr>
          <w:rFonts w:ascii="仿宋_GB2312" w:eastAsia="仿宋_GB2312"/>
          <w:szCs w:val="18"/>
          <w:u w:val="single"/>
        </w:rPr>
        <w:t xml:space="preserve"> </w:t>
      </w:r>
      <w:r>
        <w:rPr>
          <w:rFonts w:ascii="仿宋_GB2312" w:eastAsia="仿宋_GB2312"/>
          <w:szCs w:val="18"/>
          <w:highlight w:val="yellow"/>
          <w:u w:val="single"/>
        </w:rPr>
        <w:t>XXXX</w:t>
      </w:r>
      <w:r>
        <w:rPr>
          <w:rFonts w:ascii="仿宋_GB2312" w:eastAsia="仿宋_GB2312"/>
          <w:szCs w:val="18"/>
          <w:u w:val="single"/>
        </w:rPr>
        <w:t>元整</w:t>
      </w:r>
      <w:r>
        <w:rPr>
          <w:szCs w:val="18"/>
        </w:rPr>
        <w:t xml:space="preserve">（其中不含税金额  </w:t>
      </w:r>
      <w:r>
        <w:rPr>
          <w:rFonts w:ascii="仿宋_GB2312" w:eastAsia="仿宋_GB2312"/>
          <w:szCs w:val="18"/>
          <w:highlight w:val="yellow"/>
          <w:u w:val="single"/>
        </w:rPr>
        <w:t>XXXX</w:t>
      </w:r>
      <w:r>
        <w:rPr>
          <w:szCs w:val="18"/>
        </w:rPr>
        <w:t xml:space="preserve">元，增值税税额 </w:t>
      </w:r>
      <w:r>
        <w:rPr>
          <w:rFonts w:ascii="仿宋_GB2312" w:eastAsia="仿宋_GB2312"/>
          <w:szCs w:val="18"/>
          <w:highlight w:val="yellow"/>
          <w:u w:val="single"/>
        </w:rPr>
        <w:t>XXXX</w:t>
      </w:r>
      <w:r>
        <w:rPr>
          <w:szCs w:val="18"/>
        </w:rPr>
        <w:t>元，含税金额=不含税金额+增值税税额，税率</w:t>
      </w:r>
      <w:r>
        <w:rPr>
          <w:rFonts w:ascii="仿宋_GB2312" w:eastAsia="仿宋_GB2312"/>
          <w:szCs w:val="18"/>
          <w:highlight w:val="yellow"/>
          <w:u w:val="single"/>
        </w:rPr>
        <w:t>XX</w:t>
      </w:r>
      <w:r>
        <w:rPr>
          <w:szCs w:val="18"/>
        </w:rPr>
        <w:t>%）。</w:t>
      </w:r>
      <w:r>
        <w:rPr>
          <w:rFonts w:hint="eastAsia"/>
          <w:szCs w:val="18"/>
          <w:lang w:val="en-US" w:eastAsia="zh-CN"/>
        </w:rPr>
        <w:t>合同履约保证金1（壹）万元。</w:t>
      </w:r>
    </w:p>
    <w:p w14:paraId="24B6A3D5">
      <w:pPr>
        <w:pStyle w:val="176"/>
        <w:numPr>
          <w:ilvl w:val="0"/>
          <w:numId w:val="0"/>
        </w:numPr>
        <w:snapToGrid w:val="0"/>
        <w:spacing w:line="360" w:lineRule="auto"/>
        <w:ind w:firstLine="480" w:firstLineChars="200"/>
        <w:rPr>
          <w:rFonts w:hint="eastAsia" w:ascii="宋体" w:hAnsi="宋体" w:eastAsia="宋体" w:cs="Times New Roman"/>
          <w:b/>
          <w:bCs/>
          <w:color w:val="FF0000"/>
          <w:kern w:val="0"/>
          <w:sz w:val="24"/>
          <w:szCs w:val="18"/>
          <w:lang w:val="en-US" w:eastAsia="zh-CN" w:bidi="ar-SA"/>
        </w:rPr>
      </w:pPr>
      <w:r>
        <w:rPr>
          <w:rFonts w:hint="eastAsia" w:ascii="宋体" w:hAnsi="宋体" w:eastAsia="宋体" w:cs="Times New Roman"/>
          <w:b/>
          <w:bCs/>
          <w:color w:val="FF0000"/>
          <w:kern w:val="0"/>
          <w:sz w:val="24"/>
          <w:szCs w:val="18"/>
          <w:lang w:val="en-US" w:eastAsia="zh-CN" w:bidi="ar-SA"/>
        </w:rPr>
        <w:t>工程量清单各分项报价包含但不仅限于：人工费、材料费、措施费、机械费、管理费、利润、规费、税费、转运费、临时设施费、成品保护、检验检测费、高处作业费、吊装费、环境监测费等一切费用。应选单位应全面考虑本工程可预见的相关费用，风险自行承担。即投标价格应包含投标企业从进场施工开始到将满足设计要求，并经过验收合格的验收报告交付我公司过程中的所有费用。</w:t>
      </w:r>
    </w:p>
    <w:p w14:paraId="78CC5F68">
      <w:pPr>
        <w:pStyle w:val="176"/>
        <w:numPr>
          <w:ilvl w:val="0"/>
          <w:numId w:val="0"/>
        </w:numPr>
        <w:snapToGrid w:val="0"/>
        <w:spacing w:line="360" w:lineRule="auto"/>
        <w:ind w:firstLine="480" w:firstLineChars="200"/>
        <w:rPr>
          <w:rFonts w:hint="eastAsia" w:ascii="宋体" w:hAnsi="宋体" w:eastAsia="宋体" w:cs="Times New Roman"/>
          <w:b/>
          <w:bCs/>
          <w:color w:val="FF0000"/>
          <w:kern w:val="0"/>
          <w:sz w:val="24"/>
          <w:szCs w:val="18"/>
          <w:lang w:val="en-US" w:eastAsia="zh-CN" w:bidi="ar-SA"/>
        </w:rPr>
      </w:pPr>
      <w:r>
        <w:rPr>
          <w:rFonts w:hint="eastAsia" w:ascii="宋体" w:hAnsi="宋体" w:eastAsia="宋体" w:cs="Times New Roman"/>
          <w:b/>
          <w:bCs/>
          <w:color w:val="FF0000"/>
          <w:kern w:val="0"/>
          <w:sz w:val="24"/>
          <w:szCs w:val="18"/>
          <w:lang w:val="en-US" w:eastAsia="zh-CN" w:bidi="ar-SA"/>
        </w:rPr>
        <w:t>项目清单内的单价只适用本合同内工程量，依据各分项实际工程量及对应价格进行结算，项目实施过程中因设计变更/现场条件变化致使工程量增加/增加合同外工作内容，价格甲乙双方另行协商。</w:t>
      </w:r>
    </w:p>
    <w:p w14:paraId="271CE849">
      <w:pPr>
        <w:pStyle w:val="20"/>
        <w:adjustRightInd w:val="0"/>
        <w:snapToGrid w:val="0"/>
        <w:spacing w:before="0" w:beforeAutospacing="0" w:after="0" w:afterAutospacing="0" w:line="400" w:lineRule="exact"/>
        <w:ind w:firstLine="480" w:firstLineChars="200"/>
        <w:rPr>
          <w:rFonts w:hint="default"/>
          <w:szCs w:val="18"/>
        </w:rPr>
      </w:pPr>
      <w:r>
        <w:rPr>
          <w:szCs w:val="18"/>
        </w:rPr>
        <w:t xml:space="preserve">具体详见专用条款。分项价格见附件3。  </w:t>
      </w:r>
    </w:p>
    <w:p w14:paraId="17DD2EDF">
      <w:pPr>
        <w:pStyle w:val="20"/>
        <w:adjustRightInd w:val="0"/>
        <w:snapToGrid w:val="0"/>
        <w:spacing w:before="0" w:beforeAutospacing="0" w:after="0" w:afterAutospacing="0" w:line="400" w:lineRule="exact"/>
        <w:ind w:firstLine="480" w:firstLineChars="200"/>
        <w:rPr>
          <w:rFonts w:hint="default" w:ascii="Times New Roman" w:hAnsi="Times New Roman"/>
          <w:b/>
          <w:szCs w:val="18"/>
        </w:rPr>
      </w:pPr>
      <w:r>
        <w:rPr>
          <w:rFonts w:ascii="Times New Roman"/>
          <w:b/>
          <w:color w:val="000000"/>
          <w:szCs w:val="18"/>
        </w:rPr>
        <w:t>备注：</w:t>
      </w:r>
      <w:r>
        <w:rPr>
          <w:rFonts w:ascii="Times New Roman" w:hAnsi="Times New Roman"/>
          <w:b/>
          <w:szCs w:val="18"/>
        </w:rPr>
        <w:t>乙方须能保证现场施工人员配备统一PPE（安全帽、劳保鞋、工作服、护目镜），所有参与高处作业人员必须穿戴全身式安全带。同时做基坑、孔洞类安全防护时，必须是硬质围挡。其次负责周边工农关系的协调，不能影响施工工期，此为乙方责任，每次出现与上述情况不一致的问题则按照《合同附件4：健康安全协议》相关要求扣罚（从工程款中扣除）。</w:t>
      </w:r>
    </w:p>
    <w:p w14:paraId="3F2A6D13">
      <w:pPr>
        <w:pStyle w:val="20"/>
        <w:adjustRightInd w:val="0"/>
        <w:snapToGrid w:val="0"/>
        <w:spacing w:before="0" w:beforeAutospacing="0" w:after="0" w:afterAutospacing="0" w:line="400" w:lineRule="exact"/>
        <w:ind w:firstLine="480" w:firstLineChars="200"/>
        <w:rPr>
          <w:rFonts w:hint="default" w:ascii="Times New Roman" w:hAnsi="Times New Roman"/>
          <w:b/>
          <w:szCs w:val="18"/>
        </w:rPr>
      </w:pPr>
    </w:p>
    <w:p w14:paraId="734899E5">
      <w:pPr>
        <w:pStyle w:val="20"/>
        <w:adjustRightInd w:val="0"/>
        <w:snapToGrid w:val="0"/>
        <w:spacing w:before="240" w:beforeAutospacing="0" w:after="0" w:afterAutospacing="0" w:line="360" w:lineRule="auto"/>
        <w:outlineLvl w:val="0"/>
        <w:rPr>
          <w:rFonts w:hint="default" w:eastAsia="黑体"/>
          <w:b/>
          <w:bCs/>
          <w:szCs w:val="18"/>
        </w:rPr>
      </w:pPr>
      <w:bookmarkStart w:id="5" w:name="_Toc152766668"/>
      <w:r>
        <w:rPr>
          <w:rFonts w:eastAsia="黑体"/>
          <w:b/>
          <w:bCs/>
          <w:szCs w:val="18"/>
        </w:rPr>
        <w:t>六、组成合同的文件</w:t>
      </w:r>
      <w:bookmarkEnd w:id="5"/>
    </w:p>
    <w:p w14:paraId="17176FC2">
      <w:pPr>
        <w:pStyle w:val="20"/>
        <w:adjustRightInd w:val="0"/>
        <w:snapToGrid w:val="0"/>
        <w:spacing w:before="0" w:beforeAutospacing="0" w:after="0" w:afterAutospacing="0" w:line="360" w:lineRule="auto"/>
        <w:ind w:firstLine="480" w:firstLineChars="200"/>
        <w:rPr>
          <w:rFonts w:hint="default"/>
          <w:szCs w:val="18"/>
        </w:rPr>
      </w:pPr>
      <w:r>
        <w:rPr>
          <w:szCs w:val="18"/>
        </w:rPr>
        <w:t>组成本合同的文件包括：</w:t>
      </w:r>
    </w:p>
    <w:p w14:paraId="21A4A7D3">
      <w:pPr>
        <w:pStyle w:val="20"/>
        <w:adjustRightInd w:val="0"/>
        <w:snapToGrid w:val="0"/>
        <w:spacing w:before="0" w:beforeAutospacing="0" w:after="0" w:afterAutospacing="0" w:line="360" w:lineRule="auto"/>
        <w:ind w:firstLine="480" w:firstLineChars="200"/>
        <w:rPr>
          <w:rFonts w:hint="default"/>
          <w:szCs w:val="18"/>
        </w:rPr>
      </w:pPr>
      <w:r>
        <w:rPr>
          <w:szCs w:val="18"/>
        </w:rPr>
        <w:t>1、本合同协议书；</w:t>
      </w:r>
    </w:p>
    <w:p w14:paraId="504EFCA6">
      <w:pPr>
        <w:pStyle w:val="20"/>
        <w:adjustRightInd w:val="0"/>
        <w:snapToGrid w:val="0"/>
        <w:spacing w:before="0" w:beforeAutospacing="0" w:after="0" w:afterAutospacing="0" w:line="360" w:lineRule="auto"/>
        <w:ind w:firstLine="480" w:firstLineChars="200"/>
        <w:rPr>
          <w:rFonts w:hint="default"/>
          <w:szCs w:val="18"/>
        </w:rPr>
      </w:pPr>
      <w:r>
        <w:rPr>
          <w:szCs w:val="18"/>
        </w:rPr>
        <w:t>2、本合同《专用条款》；</w:t>
      </w:r>
    </w:p>
    <w:p w14:paraId="3163DC16">
      <w:pPr>
        <w:pStyle w:val="20"/>
        <w:adjustRightInd w:val="0"/>
        <w:snapToGrid w:val="0"/>
        <w:spacing w:before="0" w:beforeAutospacing="0" w:after="0" w:afterAutospacing="0" w:line="360" w:lineRule="auto"/>
        <w:ind w:firstLine="480" w:firstLineChars="200"/>
        <w:rPr>
          <w:rFonts w:hint="default"/>
          <w:szCs w:val="18"/>
        </w:rPr>
      </w:pPr>
      <w:r>
        <w:rPr>
          <w:szCs w:val="18"/>
        </w:rPr>
        <w:t>3、本合同通用条款；</w:t>
      </w:r>
    </w:p>
    <w:p w14:paraId="54C4550E">
      <w:pPr>
        <w:pStyle w:val="20"/>
        <w:adjustRightInd w:val="0"/>
        <w:snapToGrid w:val="0"/>
        <w:spacing w:before="0" w:beforeAutospacing="0" w:after="0" w:afterAutospacing="0" w:line="360" w:lineRule="auto"/>
        <w:ind w:firstLine="480" w:firstLineChars="200"/>
        <w:rPr>
          <w:rFonts w:hint="default"/>
          <w:szCs w:val="18"/>
        </w:rPr>
      </w:pPr>
      <w:r>
        <w:rPr>
          <w:szCs w:val="18"/>
        </w:rPr>
        <w:t>4、招标文件及其附件；</w:t>
      </w:r>
    </w:p>
    <w:p w14:paraId="2D81E1F7">
      <w:pPr>
        <w:pStyle w:val="20"/>
        <w:adjustRightInd w:val="0"/>
        <w:snapToGrid w:val="0"/>
        <w:spacing w:before="0" w:beforeAutospacing="0" w:after="0" w:afterAutospacing="0" w:line="360" w:lineRule="auto"/>
        <w:ind w:firstLine="480" w:firstLineChars="200"/>
        <w:rPr>
          <w:rFonts w:hint="default"/>
          <w:szCs w:val="18"/>
        </w:rPr>
      </w:pPr>
      <w:r>
        <w:rPr>
          <w:szCs w:val="18"/>
        </w:rPr>
        <w:t>5、图纸及设计要求；</w:t>
      </w:r>
    </w:p>
    <w:p w14:paraId="3B26CA3D">
      <w:pPr>
        <w:pStyle w:val="20"/>
        <w:adjustRightInd w:val="0"/>
        <w:snapToGrid w:val="0"/>
        <w:spacing w:before="0" w:beforeAutospacing="0" w:after="0" w:afterAutospacing="0" w:line="360" w:lineRule="auto"/>
        <w:ind w:firstLine="480" w:firstLineChars="200"/>
        <w:rPr>
          <w:rFonts w:hint="default"/>
          <w:szCs w:val="18"/>
        </w:rPr>
      </w:pPr>
      <w:r>
        <w:rPr>
          <w:szCs w:val="18"/>
        </w:rPr>
        <w:t>6、工程量清单；</w:t>
      </w:r>
    </w:p>
    <w:p w14:paraId="2F35709C">
      <w:pPr>
        <w:pStyle w:val="20"/>
        <w:adjustRightInd w:val="0"/>
        <w:snapToGrid w:val="0"/>
        <w:spacing w:before="0" w:beforeAutospacing="0" w:after="0" w:afterAutospacing="0" w:line="360" w:lineRule="auto"/>
        <w:ind w:firstLine="480" w:firstLineChars="200"/>
        <w:rPr>
          <w:rFonts w:hint="default"/>
          <w:szCs w:val="18"/>
        </w:rPr>
      </w:pPr>
      <w:r>
        <w:rPr>
          <w:szCs w:val="18"/>
        </w:rPr>
        <w:t>7、投标书及澄清文件；</w:t>
      </w:r>
    </w:p>
    <w:p w14:paraId="17BE558D">
      <w:pPr>
        <w:pStyle w:val="20"/>
        <w:adjustRightInd w:val="0"/>
        <w:snapToGrid w:val="0"/>
        <w:spacing w:before="0" w:beforeAutospacing="0" w:after="0" w:afterAutospacing="0" w:line="360" w:lineRule="auto"/>
        <w:ind w:firstLine="480" w:firstLineChars="200"/>
        <w:rPr>
          <w:rFonts w:hint="default"/>
          <w:szCs w:val="18"/>
        </w:rPr>
      </w:pPr>
      <w:r>
        <w:rPr>
          <w:szCs w:val="18"/>
        </w:rPr>
        <w:t>8、工程报价单或预算书；</w:t>
      </w:r>
    </w:p>
    <w:p w14:paraId="1BD93D96">
      <w:pPr>
        <w:pStyle w:val="20"/>
        <w:adjustRightInd w:val="0"/>
        <w:snapToGrid w:val="0"/>
        <w:spacing w:before="0" w:beforeAutospacing="0" w:after="0" w:afterAutospacing="0" w:line="360" w:lineRule="auto"/>
        <w:ind w:firstLine="480" w:firstLineChars="200"/>
        <w:rPr>
          <w:rFonts w:hint="default"/>
          <w:szCs w:val="18"/>
        </w:rPr>
      </w:pPr>
      <w:r>
        <w:rPr>
          <w:szCs w:val="18"/>
        </w:rPr>
        <w:t>9、标准、规范及有关技术文件。</w:t>
      </w:r>
    </w:p>
    <w:p w14:paraId="67BC1870">
      <w:pPr>
        <w:pStyle w:val="20"/>
        <w:adjustRightInd w:val="0"/>
        <w:snapToGrid w:val="0"/>
        <w:spacing w:before="0" w:beforeAutospacing="0" w:after="0" w:afterAutospacing="0" w:line="360" w:lineRule="auto"/>
        <w:ind w:firstLine="480" w:firstLineChars="200"/>
        <w:rPr>
          <w:rFonts w:hint="default"/>
          <w:szCs w:val="18"/>
        </w:rPr>
      </w:pPr>
      <w:r>
        <w:rPr>
          <w:szCs w:val="18"/>
        </w:rPr>
        <w:t>双方有关工程的洽商、变更等书面协议或文件视为本合同的组成部分。上述文件应认为互为补充和解释，但如有含义不清或互相矛盾之处，以上述文件次序在前者为准。</w:t>
      </w:r>
    </w:p>
    <w:p w14:paraId="4D7E6BCE">
      <w:pPr>
        <w:pStyle w:val="20"/>
        <w:adjustRightInd w:val="0"/>
        <w:snapToGrid w:val="0"/>
        <w:spacing w:before="0" w:beforeAutospacing="0" w:after="0" w:afterAutospacing="0" w:line="360" w:lineRule="auto"/>
        <w:outlineLvl w:val="0"/>
        <w:rPr>
          <w:rFonts w:hint="default" w:eastAsia="黑体"/>
          <w:b/>
          <w:bCs/>
          <w:szCs w:val="18"/>
        </w:rPr>
      </w:pPr>
      <w:bookmarkStart w:id="6" w:name="_Toc534294756"/>
      <w:bookmarkStart w:id="7" w:name="_Toc534294285"/>
      <w:bookmarkStart w:id="8" w:name="_Toc534298821"/>
      <w:bookmarkStart w:id="9" w:name="_Toc534298585"/>
      <w:bookmarkStart w:id="10" w:name="_Toc152766669"/>
      <w:bookmarkStart w:id="11" w:name="_Toc534294907"/>
      <w:bookmarkStart w:id="12" w:name="_Toc534295021"/>
      <w:r>
        <w:rPr>
          <w:rFonts w:eastAsia="黑体"/>
          <w:b/>
          <w:bCs/>
          <w:szCs w:val="18"/>
        </w:rPr>
        <w:t>七、词语含义</w:t>
      </w:r>
      <w:bookmarkEnd w:id="6"/>
      <w:bookmarkEnd w:id="7"/>
      <w:bookmarkEnd w:id="8"/>
      <w:bookmarkEnd w:id="9"/>
      <w:bookmarkEnd w:id="10"/>
      <w:bookmarkEnd w:id="11"/>
      <w:bookmarkEnd w:id="12"/>
    </w:p>
    <w:p w14:paraId="21FD2EE7">
      <w:pPr>
        <w:pStyle w:val="20"/>
        <w:adjustRightInd w:val="0"/>
        <w:snapToGrid w:val="0"/>
        <w:spacing w:before="0" w:beforeAutospacing="0" w:after="0" w:afterAutospacing="0" w:line="360" w:lineRule="auto"/>
        <w:ind w:firstLine="480" w:firstLineChars="200"/>
        <w:rPr>
          <w:rFonts w:hint="default"/>
          <w:szCs w:val="18"/>
        </w:rPr>
      </w:pPr>
      <w:r>
        <w:rPr>
          <w:szCs w:val="18"/>
        </w:rPr>
        <w:t>本协议书中有关词语含义与本合同第二部分《通用条款》中分别赋予它们的定义相同。</w:t>
      </w:r>
    </w:p>
    <w:p w14:paraId="1015AA34">
      <w:pPr>
        <w:pStyle w:val="20"/>
        <w:adjustRightInd w:val="0"/>
        <w:snapToGrid w:val="0"/>
        <w:spacing w:before="0" w:beforeAutospacing="0" w:after="0" w:afterAutospacing="0" w:line="360" w:lineRule="auto"/>
        <w:outlineLvl w:val="0"/>
        <w:rPr>
          <w:rFonts w:hint="default" w:eastAsia="黑体"/>
          <w:b/>
          <w:bCs/>
          <w:szCs w:val="18"/>
        </w:rPr>
      </w:pPr>
      <w:bookmarkStart w:id="13" w:name="_Toc534298822"/>
      <w:bookmarkStart w:id="14" w:name="_Toc534294908"/>
      <w:bookmarkStart w:id="15" w:name="_Toc534298586"/>
      <w:bookmarkStart w:id="16" w:name="_Toc534294757"/>
      <w:bookmarkStart w:id="17" w:name="_Toc534294286"/>
      <w:bookmarkStart w:id="18" w:name="_Toc152766670"/>
      <w:bookmarkStart w:id="19" w:name="_Toc534295022"/>
      <w:r>
        <w:rPr>
          <w:rFonts w:eastAsia="黑体"/>
          <w:b/>
          <w:bCs/>
          <w:szCs w:val="18"/>
        </w:rPr>
        <w:t>八、乙方承诺</w:t>
      </w:r>
      <w:bookmarkEnd w:id="13"/>
      <w:bookmarkEnd w:id="14"/>
      <w:bookmarkEnd w:id="15"/>
      <w:bookmarkEnd w:id="16"/>
      <w:bookmarkEnd w:id="17"/>
      <w:bookmarkEnd w:id="18"/>
      <w:bookmarkEnd w:id="19"/>
    </w:p>
    <w:p w14:paraId="245521E8">
      <w:pPr>
        <w:pStyle w:val="20"/>
        <w:adjustRightInd w:val="0"/>
        <w:snapToGrid w:val="0"/>
        <w:spacing w:before="0" w:beforeAutospacing="0" w:after="0" w:afterAutospacing="0" w:line="360" w:lineRule="auto"/>
        <w:ind w:firstLine="480" w:firstLineChars="200"/>
        <w:rPr>
          <w:rFonts w:hint="default"/>
          <w:szCs w:val="18"/>
        </w:rPr>
      </w:pPr>
      <w:r>
        <w:rPr>
          <w:szCs w:val="18"/>
        </w:rPr>
        <w:t>1、乙方向甲方承诺按照本合同约定进行施工、竣工，并在质量保修期内承担工程质量保修责任，履行本合同所约定的全部义务。如甲方发现乙方未按合同约定施工、或施工不符合甲方要求、或质量不符合合同约定，甲方有权拒绝按合同约定支付工程款，甲方无需承担逾期付款的违约责任，但甲方有权追究乙方造成安全、工期、质量等损失的违约责任。</w:t>
      </w:r>
    </w:p>
    <w:p w14:paraId="084E4711">
      <w:pPr>
        <w:pStyle w:val="20"/>
        <w:adjustRightInd w:val="0"/>
        <w:snapToGrid w:val="0"/>
        <w:spacing w:before="0" w:beforeAutospacing="0" w:after="0" w:afterAutospacing="0" w:line="360" w:lineRule="auto"/>
        <w:ind w:firstLine="480" w:firstLineChars="200"/>
        <w:rPr>
          <w:rFonts w:hint="default"/>
          <w:szCs w:val="18"/>
        </w:rPr>
      </w:pPr>
      <w:r>
        <w:rPr>
          <w:szCs w:val="18"/>
        </w:rPr>
        <w:t>2、甲方有权在通过面谈、考察等形式对乙方安全管理人员进行素质评价，对不能达到甲方要求者不予留用。</w:t>
      </w:r>
    </w:p>
    <w:p w14:paraId="2031EE77">
      <w:pPr>
        <w:pStyle w:val="20"/>
        <w:adjustRightInd w:val="0"/>
        <w:snapToGrid w:val="0"/>
        <w:spacing w:before="0" w:beforeAutospacing="0" w:after="0" w:afterAutospacing="0" w:line="360" w:lineRule="auto"/>
        <w:ind w:firstLine="480" w:firstLineChars="200"/>
        <w:rPr>
          <w:rFonts w:hint="default"/>
          <w:szCs w:val="18"/>
        </w:rPr>
      </w:pPr>
      <w:r>
        <w:rPr>
          <w:szCs w:val="18"/>
        </w:rPr>
        <w:t>3、甲方对现场安全工作不称职的乙方项目经理、安全管理负责人，有权提出撤换指令。</w:t>
      </w:r>
    </w:p>
    <w:p w14:paraId="251E6EAA">
      <w:pPr>
        <w:pStyle w:val="20"/>
        <w:adjustRightInd w:val="0"/>
        <w:snapToGrid w:val="0"/>
        <w:spacing w:before="0" w:beforeAutospacing="0" w:after="0" w:afterAutospacing="0" w:line="360" w:lineRule="auto"/>
        <w:outlineLvl w:val="0"/>
        <w:rPr>
          <w:rFonts w:hint="default" w:eastAsia="黑体"/>
          <w:b/>
          <w:bCs/>
          <w:szCs w:val="18"/>
        </w:rPr>
      </w:pPr>
      <w:bookmarkStart w:id="20" w:name="_Toc534294909"/>
      <w:bookmarkStart w:id="21" w:name="_Toc152766671"/>
      <w:bookmarkStart w:id="22" w:name="_Toc534294758"/>
      <w:bookmarkStart w:id="23" w:name="_Toc534298823"/>
      <w:bookmarkStart w:id="24" w:name="_Toc534298587"/>
      <w:bookmarkStart w:id="25" w:name="_Toc534295023"/>
      <w:r>
        <w:rPr>
          <w:rFonts w:eastAsia="黑体"/>
          <w:b/>
          <w:bCs/>
          <w:szCs w:val="18"/>
        </w:rPr>
        <w:t>九、合同生效</w:t>
      </w:r>
      <w:bookmarkEnd w:id="20"/>
      <w:bookmarkEnd w:id="21"/>
      <w:bookmarkEnd w:id="22"/>
      <w:bookmarkEnd w:id="23"/>
      <w:bookmarkEnd w:id="24"/>
      <w:bookmarkEnd w:id="25"/>
    </w:p>
    <w:p w14:paraId="6D31F4FA">
      <w:pPr>
        <w:pStyle w:val="20"/>
        <w:adjustRightInd w:val="0"/>
        <w:snapToGrid w:val="0"/>
        <w:spacing w:before="0" w:beforeAutospacing="0" w:after="0" w:afterAutospacing="0" w:line="360" w:lineRule="auto"/>
        <w:ind w:firstLine="480"/>
        <w:rPr>
          <w:rFonts w:hint="default"/>
          <w:szCs w:val="18"/>
        </w:rPr>
      </w:pPr>
      <w:r>
        <w:rPr>
          <w:szCs w:val="18"/>
        </w:rPr>
        <w:t>合同订立时间：以双方签字盖章时间为准</w:t>
      </w:r>
    </w:p>
    <w:p w14:paraId="68D0743B">
      <w:pPr>
        <w:pStyle w:val="20"/>
        <w:adjustRightInd w:val="0"/>
        <w:snapToGrid w:val="0"/>
        <w:spacing w:before="0" w:beforeAutospacing="0" w:after="0" w:afterAutospacing="0" w:line="360" w:lineRule="auto"/>
        <w:ind w:firstLine="480"/>
        <w:rPr>
          <w:rFonts w:hint="default"/>
          <w:szCs w:val="18"/>
        </w:rPr>
      </w:pPr>
      <w:r>
        <w:rPr>
          <w:szCs w:val="18"/>
        </w:rPr>
        <w:t>合同订立地点：</w:t>
      </w:r>
    </w:p>
    <w:p w14:paraId="63EAA7C1">
      <w:pPr>
        <w:pStyle w:val="20"/>
        <w:adjustRightInd w:val="0"/>
        <w:snapToGrid w:val="0"/>
        <w:spacing w:before="0" w:beforeAutospacing="0" w:after="0" w:afterAutospacing="0" w:line="360" w:lineRule="auto"/>
        <w:ind w:firstLine="480"/>
        <w:rPr>
          <w:rFonts w:hint="default"/>
          <w:szCs w:val="18"/>
        </w:rPr>
      </w:pPr>
      <w:r>
        <w:rPr>
          <w:szCs w:val="18"/>
        </w:rPr>
        <w:t xml:space="preserve">本合同双方约定由双方法人授权代表签字盖章后生效。 </w:t>
      </w:r>
    </w:p>
    <w:p w14:paraId="53B51C21">
      <w:pPr>
        <w:pStyle w:val="20"/>
        <w:adjustRightInd w:val="0"/>
        <w:snapToGrid w:val="0"/>
        <w:spacing w:before="0" w:beforeAutospacing="0" w:after="0" w:afterAutospacing="0" w:line="360" w:lineRule="auto"/>
        <w:ind w:firstLine="480"/>
        <w:rPr>
          <w:rFonts w:hint="default"/>
          <w:szCs w:val="18"/>
        </w:rPr>
      </w:pPr>
      <w:r>
        <w:rPr>
          <w:szCs w:val="18"/>
        </w:rPr>
        <w:t>合同履行过程中，未尽事宜或变更事宜双方协商解决，协商后达成的书面文件作为本合同的补充文件，经签章后与本合同具有同等法律效力。</w:t>
      </w:r>
    </w:p>
    <w:p w14:paraId="350773FE">
      <w:pPr>
        <w:pStyle w:val="20"/>
        <w:adjustRightInd w:val="0"/>
        <w:snapToGrid w:val="0"/>
        <w:spacing w:before="0" w:beforeAutospacing="0" w:after="0" w:afterAutospacing="0" w:line="360" w:lineRule="auto"/>
        <w:outlineLvl w:val="0"/>
        <w:rPr>
          <w:rFonts w:hint="default"/>
          <w:szCs w:val="18"/>
        </w:rPr>
      </w:pPr>
    </w:p>
    <w:p w14:paraId="6806B91A">
      <w:pPr>
        <w:pStyle w:val="20"/>
        <w:adjustRightInd w:val="0"/>
        <w:snapToGrid w:val="0"/>
        <w:spacing w:before="0" w:beforeAutospacing="0" w:after="0" w:afterAutospacing="0" w:line="360" w:lineRule="auto"/>
        <w:ind w:firstLine="480"/>
        <w:rPr>
          <w:rFonts w:hint="default"/>
          <w:szCs w:val="18"/>
        </w:rPr>
      </w:pPr>
    </w:p>
    <w:tbl>
      <w:tblPr>
        <w:tblStyle w:val="23"/>
        <w:tblW w:w="9807" w:type="dxa"/>
        <w:jc w:val="center"/>
        <w:tblLayout w:type="autofit"/>
        <w:tblCellMar>
          <w:top w:w="0" w:type="dxa"/>
          <w:left w:w="108" w:type="dxa"/>
          <w:bottom w:w="0" w:type="dxa"/>
          <w:right w:w="108" w:type="dxa"/>
        </w:tblCellMar>
      </w:tblPr>
      <w:tblGrid>
        <w:gridCol w:w="851"/>
        <w:gridCol w:w="4149"/>
        <w:gridCol w:w="879"/>
        <w:gridCol w:w="3928"/>
      </w:tblGrid>
      <w:tr w14:paraId="35F30CDC">
        <w:tblPrEx>
          <w:tblCellMar>
            <w:top w:w="0" w:type="dxa"/>
            <w:left w:w="108" w:type="dxa"/>
            <w:bottom w:w="0" w:type="dxa"/>
            <w:right w:w="108" w:type="dxa"/>
          </w:tblCellMar>
        </w:tblPrEx>
        <w:trPr>
          <w:jc w:val="center"/>
        </w:trPr>
        <w:tc>
          <w:tcPr>
            <w:tcW w:w="851" w:type="dxa"/>
            <w:shd w:val="clear" w:color="auto" w:fill="auto"/>
            <w:vAlign w:val="center"/>
          </w:tcPr>
          <w:p w14:paraId="1D47022A">
            <w:pPr>
              <w:pStyle w:val="20"/>
              <w:adjustRightInd w:val="0"/>
              <w:snapToGrid w:val="0"/>
              <w:spacing w:before="0" w:beforeAutospacing="0" w:after="0" w:afterAutospacing="0" w:line="360" w:lineRule="auto"/>
              <w:jc w:val="both"/>
              <w:rPr>
                <w:rFonts w:hint="default"/>
                <w:szCs w:val="18"/>
              </w:rPr>
            </w:pPr>
            <w:r>
              <w:rPr>
                <w:b/>
                <w:szCs w:val="18"/>
              </w:rPr>
              <w:t>甲方：</w:t>
            </w:r>
          </w:p>
        </w:tc>
        <w:tc>
          <w:tcPr>
            <w:tcW w:w="4149" w:type="dxa"/>
            <w:shd w:val="clear" w:color="auto" w:fill="auto"/>
            <w:vAlign w:val="center"/>
          </w:tcPr>
          <w:p w14:paraId="16C6AE29">
            <w:pPr>
              <w:pStyle w:val="20"/>
              <w:adjustRightInd w:val="0"/>
              <w:snapToGrid w:val="0"/>
              <w:spacing w:before="0" w:beforeAutospacing="0" w:after="0" w:afterAutospacing="0" w:line="360" w:lineRule="auto"/>
              <w:jc w:val="both"/>
              <w:rPr>
                <w:rFonts w:hint="default"/>
                <w:szCs w:val="18"/>
              </w:rPr>
            </w:pPr>
            <w:r>
              <w:rPr>
                <w:szCs w:val="18"/>
              </w:rPr>
              <w:t xml:space="preserve">      </w:t>
            </w:r>
          </w:p>
        </w:tc>
        <w:tc>
          <w:tcPr>
            <w:tcW w:w="879" w:type="dxa"/>
            <w:shd w:val="clear" w:color="auto" w:fill="auto"/>
            <w:vAlign w:val="center"/>
          </w:tcPr>
          <w:p w14:paraId="01948AC3">
            <w:pPr>
              <w:pStyle w:val="20"/>
              <w:adjustRightInd w:val="0"/>
              <w:snapToGrid w:val="0"/>
              <w:spacing w:before="0" w:beforeAutospacing="0" w:after="0" w:afterAutospacing="0" w:line="360" w:lineRule="auto"/>
              <w:jc w:val="both"/>
              <w:rPr>
                <w:rFonts w:hint="default"/>
                <w:szCs w:val="18"/>
              </w:rPr>
            </w:pPr>
            <w:r>
              <w:rPr>
                <w:b/>
                <w:szCs w:val="18"/>
              </w:rPr>
              <w:t>乙方：</w:t>
            </w:r>
          </w:p>
        </w:tc>
        <w:tc>
          <w:tcPr>
            <w:tcW w:w="3928" w:type="dxa"/>
            <w:shd w:val="clear" w:color="auto" w:fill="auto"/>
            <w:vAlign w:val="center"/>
          </w:tcPr>
          <w:p w14:paraId="17E7F272">
            <w:pPr>
              <w:pStyle w:val="20"/>
              <w:adjustRightInd w:val="0"/>
              <w:snapToGrid w:val="0"/>
              <w:spacing w:before="0" w:beforeAutospacing="0" w:after="0" w:afterAutospacing="0" w:line="360" w:lineRule="auto"/>
              <w:jc w:val="both"/>
              <w:rPr>
                <w:rFonts w:hint="default"/>
                <w:szCs w:val="18"/>
              </w:rPr>
            </w:pPr>
            <w:r>
              <w:rPr>
                <w:szCs w:val="18"/>
              </w:rPr>
              <w:t xml:space="preserve"> </w:t>
            </w:r>
          </w:p>
        </w:tc>
      </w:tr>
    </w:tbl>
    <w:p w14:paraId="6B62BE47">
      <w:pPr>
        <w:pStyle w:val="20"/>
        <w:adjustRightInd w:val="0"/>
        <w:snapToGrid w:val="0"/>
        <w:spacing w:before="0" w:beforeAutospacing="0" w:after="0" w:afterAutospacing="0" w:line="360" w:lineRule="auto"/>
        <w:ind w:firstLine="480"/>
        <w:rPr>
          <w:rFonts w:hint="default"/>
          <w:szCs w:val="18"/>
        </w:rPr>
      </w:pPr>
      <w:r>
        <w:rPr>
          <w:szCs w:val="18"/>
        </w:rPr>
        <w:t xml:space="preserve">  </w:t>
      </w:r>
    </w:p>
    <w:p w14:paraId="42BB7EC3">
      <w:pPr>
        <w:pStyle w:val="20"/>
        <w:adjustRightInd w:val="0"/>
        <w:snapToGrid w:val="0"/>
        <w:spacing w:before="0" w:beforeAutospacing="0" w:after="0" w:afterAutospacing="0" w:line="360" w:lineRule="auto"/>
        <w:rPr>
          <w:rFonts w:hint="default"/>
          <w:szCs w:val="18"/>
        </w:rPr>
      </w:pPr>
      <w:r>
        <w:rPr>
          <w:szCs w:val="18"/>
        </w:rPr>
        <w:t xml:space="preserve">法定代表人：                       法定代表人： </w:t>
      </w:r>
    </w:p>
    <w:p w14:paraId="7828487E">
      <w:pPr>
        <w:pStyle w:val="20"/>
        <w:adjustRightInd w:val="0"/>
        <w:snapToGrid w:val="0"/>
        <w:spacing w:before="0" w:beforeAutospacing="0" w:after="0" w:afterAutospacing="0" w:line="360" w:lineRule="auto"/>
        <w:rPr>
          <w:rFonts w:hint="default"/>
          <w:szCs w:val="18"/>
        </w:rPr>
      </w:pPr>
      <w:r>
        <w:rPr>
          <w:szCs w:val="18"/>
        </w:rPr>
        <w:t>（或委托代表人）：                （或委托代表人）：</w:t>
      </w:r>
    </w:p>
    <w:p w14:paraId="7AEF356A">
      <w:pPr>
        <w:pStyle w:val="20"/>
        <w:adjustRightInd w:val="0"/>
        <w:snapToGrid w:val="0"/>
        <w:spacing w:before="0" w:beforeAutospacing="0" w:after="0" w:afterAutospacing="0" w:line="360" w:lineRule="auto"/>
        <w:rPr>
          <w:rFonts w:hint="default"/>
          <w:szCs w:val="18"/>
        </w:rPr>
      </w:pPr>
    </w:p>
    <w:p w14:paraId="0C7F8BA8">
      <w:pPr>
        <w:pStyle w:val="20"/>
        <w:adjustRightInd w:val="0"/>
        <w:snapToGrid w:val="0"/>
        <w:spacing w:before="0" w:beforeAutospacing="0" w:after="0" w:afterAutospacing="0" w:line="360" w:lineRule="auto"/>
        <w:rPr>
          <w:rFonts w:hint="default"/>
          <w:szCs w:val="18"/>
        </w:rPr>
      </w:pPr>
      <w:r>
        <w:rPr>
          <w:szCs w:val="18"/>
        </w:rPr>
        <w:t>签订时间：                          签订时间：</w:t>
      </w:r>
    </w:p>
    <w:p w14:paraId="73E8361F">
      <w:pPr>
        <w:pStyle w:val="20"/>
        <w:adjustRightInd w:val="0"/>
        <w:snapToGrid w:val="0"/>
        <w:spacing w:before="0" w:beforeAutospacing="0" w:after="0" w:afterAutospacing="0" w:line="360" w:lineRule="auto"/>
        <w:rPr>
          <w:rFonts w:hint="default"/>
          <w:szCs w:val="18"/>
        </w:rPr>
      </w:pPr>
    </w:p>
    <w:tbl>
      <w:tblPr>
        <w:tblStyle w:val="23"/>
        <w:tblW w:w="10425" w:type="dxa"/>
        <w:jc w:val="center"/>
        <w:tblLayout w:type="autofit"/>
        <w:tblCellMar>
          <w:top w:w="0" w:type="dxa"/>
          <w:left w:w="108" w:type="dxa"/>
          <w:bottom w:w="0" w:type="dxa"/>
          <w:right w:w="108" w:type="dxa"/>
        </w:tblCellMar>
      </w:tblPr>
      <w:tblGrid>
        <w:gridCol w:w="1283"/>
        <w:gridCol w:w="3472"/>
        <w:gridCol w:w="1134"/>
        <w:gridCol w:w="4536"/>
      </w:tblGrid>
      <w:tr w14:paraId="1860C00D">
        <w:tblPrEx>
          <w:tblCellMar>
            <w:top w:w="0" w:type="dxa"/>
            <w:left w:w="108" w:type="dxa"/>
            <w:bottom w:w="0" w:type="dxa"/>
            <w:right w:w="108" w:type="dxa"/>
          </w:tblCellMar>
        </w:tblPrEx>
        <w:trPr>
          <w:trHeight w:val="58" w:hRule="atLeast"/>
          <w:jc w:val="center"/>
        </w:trPr>
        <w:tc>
          <w:tcPr>
            <w:tcW w:w="1283" w:type="dxa"/>
            <w:shd w:val="clear" w:color="auto" w:fill="auto"/>
            <w:vAlign w:val="center"/>
          </w:tcPr>
          <w:p w14:paraId="45B6A760">
            <w:pPr>
              <w:pStyle w:val="20"/>
              <w:adjustRightInd w:val="0"/>
              <w:snapToGrid w:val="0"/>
              <w:spacing w:before="0" w:beforeAutospacing="0" w:after="0" w:afterAutospacing="0" w:line="360" w:lineRule="auto"/>
              <w:jc w:val="both"/>
              <w:rPr>
                <w:rFonts w:hint="default"/>
                <w:szCs w:val="18"/>
              </w:rPr>
            </w:pPr>
            <w:r>
              <w:rPr>
                <w:szCs w:val="18"/>
              </w:rPr>
              <w:t>开户行：</w:t>
            </w:r>
          </w:p>
        </w:tc>
        <w:tc>
          <w:tcPr>
            <w:tcW w:w="3472" w:type="dxa"/>
            <w:shd w:val="clear" w:color="auto" w:fill="auto"/>
            <w:vAlign w:val="center"/>
          </w:tcPr>
          <w:p w14:paraId="384A48F7">
            <w:pPr>
              <w:pStyle w:val="20"/>
              <w:adjustRightInd w:val="0"/>
              <w:snapToGrid w:val="0"/>
              <w:spacing w:before="0" w:beforeAutospacing="0" w:after="0" w:afterAutospacing="0" w:line="360" w:lineRule="auto"/>
              <w:jc w:val="both"/>
              <w:rPr>
                <w:rFonts w:hint="default"/>
                <w:szCs w:val="18"/>
              </w:rPr>
            </w:pPr>
          </w:p>
        </w:tc>
        <w:tc>
          <w:tcPr>
            <w:tcW w:w="1134" w:type="dxa"/>
            <w:shd w:val="clear" w:color="auto" w:fill="auto"/>
            <w:vAlign w:val="center"/>
          </w:tcPr>
          <w:p w14:paraId="4C5CC4A1">
            <w:pPr>
              <w:pStyle w:val="20"/>
              <w:adjustRightInd w:val="0"/>
              <w:snapToGrid w:val="0"/>
              <w:spacing w:before="0" w:beforeAutospacing="0" w:after="0" w:afterAutospacing="0" w:line="360" w:lineRule="auto"/>
              <w:jc w:val="both"/>
              <w:rPr>
                <w:rFonts w:hint="default"/>
                <w:szCs w:val="18"/>
              </w:rPr>
            </w:pPr>
            <w:r>
              <w:rPr>
                <w:szCs w:val="18"/>
              </w:rPr>
              <w:t>开户行：</w:t>
            </w:r>
          </w:p>
        </w:tc>
        <w:tc>
          <w:tcPr>
            <w:tcW w:w="4536" w:type="dxa"/>
            <w:shd w:val="clear" w:color="auto" w:fill="auto"/>
            <w:vAlign w:val="center"/>
          </w:tcPr>
          <w:p w14:paraId="2421F650">
            <w:pPr>
              <w:pStyle w:val="20"/>
              <w:adjustRightInd w:val="0"/>
              <w:snapToGrid w:val="0"/>
              <w:spacing w:before="0" w:beforeAutospacing="0" w:after="0" w:afterAutospacing="0" w:line="360" w:lineRule="auto"/>
              <w:jc w:val="both"/>
              <w:rPr>
                <w:rFonts w:hint="default"/>
                <w:szCs w:val="18"/>
              </w:rPr>
            </w:pPr>
            <w:r>
              <w:rPr>
                <w:szCs w:val="18"/>
              </w:rPr>
              <w:t xml:space="preserve"> </w:t>
            </w:r>
          </w:p>
        </w:tc>
      </w:tr>
      <w:tr w14:paraId="63CAF795">
        <w:tblPrEx>
          <w:tblCellMar>
            <w:top w:w="0" w:type="dxa"/>
            <w:left w:w="108" w:type="dxa"/>
            <w:bottom w:w="0" w:type="dxa"/>
            <w:right w:w="108" w:type="dxa"/>
          </w:tblCellMar>
        </w:tblPrEx>
        <w:trPr>
          <w:trHeight w:val="58" w:hRule="atLeast"/>
          <w:jc w:val="center"/>
        </w:trPr>
        <w:tc>
          <w:tcPr>
            <w:tcW w:w="1283" w:type="dxa"/>
            <w:shd w:val="clear" w:color="auto" w:fill="auto"/>
            <w:vAlign w:val="center"/>
          </w:tcPr>
          <w:p w14:paraId="462B032A">
            <w:pPr>
              <w:pStyle w:val="20"/>
              <w:adjustRightInd w:val="0"/>
              <w:snapToGrid w:val="0"/>
              <w:spacing w:before="0" w:beforeAutospacing="0" w:after="0" w:afterAutospacing="0" w:line="360" w:lineRule="auto"/>
              <w:jc w:val="both"/>
              <w:rPr>
                <w:rFonts w:hint="default"/>
                <w:szCs w:val="18"/>
              </w:rPr>
            </w:pPr>
            <w:r>
              <w:rPr>
                <w:color w:val="000000"/>
              </w:rPr>
              <w:t>地 址：</w:t>
            </w:r>
          </w:p>
        </w:tc>
        <w:tc>
          <w:tcPr>
            <w:tcW w:w="3472" w:type="dxa"/>
            <w:shd w:val="clear" w:color="auto" w:fill="auto"/>
            <w:vAlign w:val="center"/>
          </w:tcPr>
          <w:p w14:paraId="17159E81">
            <w:pPr>
              <w:pStyle w:val="20"/>
              <w:adjustRightInd w:val="0"/>
              <w:snapToGrid w:val="0"/>
              <w:spacing w:before="0" w:beforeAutospacing="0" w:after="0" w:afterAutospacing="0" w:line="360" w:lineRule="auto"/>
              <w:jc w:val="both"/>
              <w:rPr>
                <w:rFonts w:hint="default"/>
                <w:szCs w:val="18"/>
              </w:rPr>
            </w:pPr>
          </w:p>
        </w:tc>
        <w:tc>
          <w:tcPr>
            <w:tcW w:w="1134" w:type="dxa"/>
            <w:shd w:val="clear" w:color="auto" w:fill="auto"/>
            <w:vAlign w:val="center"/>
          </w:tcPr>
          <w:p w14:paraId="4BBE7663">
            <w:pPr>
              <w:pStyle w:val="20"/>
              <w:adjustRightInd w:val="0"/>
              <w:snapToGrid w:val="0"/>
              <w:spacing w:before="0" w:beforeAutospacing="0" w:after="0" w:afterAutospacing="0" w:line="360" w:lineRule="auto"/>
              <w:jc w:val="both"/>
              <w:rPr>
                <w:rFonts w:hint="default"/>
                <w:szCs w:val="18"/>
              </w:rPr>
            </w:pPr>
            <w:r>
              <w:rPr>
                <w:color w:val="000000"/>
              </w:rPr>
              <w:t>地 址：</w:t>
            </w:r>
          </w:p>
        </w:tc>
        <w:tc>
          <w:tcPr>
            <w:tcW w:w="4536" w:type="dxa"/>
            <w:shd w:val="clear" w:color="auto" w:fill="auto"/>
            <w:vAlign w:val="center"/>
          </w:tcPr>
          <w:p w14:paraId="76E6EA68">
            <w:pPr>
              <w:pStyle w:val="20"/>
              <w:adjustRightInd w:val="0"/>
              <w:snapToGrid w:val="0"/>
              <w:spacing w:before="0" w:beforeAutospacing="0" w:after="0" w:afterAutospacing="0" w:line="360" w:lineRule="auto"/>
              <w:jc w:val="both"/>
              <w:rPr>
                <w:rFonts w:hint="default"/>
                <w:szCs w:val="18"/>
              </w:rPr>
            </w:pPr>
            <w:r>
              <w:rPr>
                <w:szCs w:val="18"/>
              </w:rPr>
              <w:t xml:space="preserve"> </w:t>
            </w:r>
          </w:p>
        </w:tc>
      </w:tr>
      <w:tr w14:paraId="1385A452">
        <w:tblPrEx>
          <w:tblCellMar>
            <w:top w:w="0" w:type="dxa"/>
            <w:left w:w="108" w:type="dxa"/>
            <w:bottom w:w="0" w:type="dxa"/>
            <w:right w:w="108" w:type="dxa"/>
          </w:tblCellMar>
        </w:tblPrEx>
        <w:trPr>
          <w:trHeight w:val="459" w:hRule="atLeast"/>
          <w:jc w:val="center"/>
        </w:trPr>
        <w:tc>
          <w:tcPr>
            <w:tcW w:w="1283" w:type="dxa"/>
            <w:shd w:val="clear" w:color="auto" w:fill="auto"/>
            <w:vAlign w:val="center"/>
          </w:tcPr>
          <w:p w14:paraId="52844D62">
            <w:pPr>
              <w:pStyle w:val="20"/>
              <w:adjustRightInd w:val="0"/>
              <w:snapToGrid w:val="0"/>
              <w:spacing w:before="0" w:beforeAutospacing="0" w:after="0" w:afterAutospacing="0" w:line="360" w:lineRule="auto"/>
              <w:jc w:val="both"/>
              <w:rPr>
                <w:rFonts w:hint="default"/>
                <w:szCs w:val="18"/>
              </w:rPr>
            </w:pPr>
            <w:r>
              <w:rPr>
                <w:color w:val="000000"/>
              </w:rPr>
              <w:t>账 号：</w:t>
            </w:r>
          </w:p>
        </w:tc>
        <w:tc>
          <w:tcPr>
            <w:tcW w:w="3472" w:type="dxa"/>
            <w:shd w:val="clear" w:color="auto" w:fill="auto"/>
            <w:vAlign w:val="center"/>
          </w:tcPr>
          <w:p w14:paraId="6724CE6A">
            <w:pPr>
              <w:pStyle w:val="20"/>
              <w:adjustRightInd w:val="0"/>
              <w:snapToGrid w:val="0"/>
              <w:spacing w:before="0" w:beforeAutospacing="0" w:after="0" w:afterAutospacing="0" w:line="360" w:lineRule="auto"/>
              <w:jc w:val="both"/>
              <w:rPr>
                <w:rFonts w:hint="default"/>
                <w:szCs w:val="18"/>
              </w:rPr>
            </w:pPr>
          </w:p>
        </w:tc>
        <w:tc>
          <w:tcPr>
            <w:tcW w:w="1134" w:type="dxa"/>
            <w:shd w:val="clear" w:color="auto" w:fill="auto"/>
            <w:vAlign w:val="center"/>
          </w:tcPr>
          <w:p w14:paraId="09C0124E">
            <w:pPr>
              <w:pStyle w:val="20"/>
              <w:adjustRightInd w:val="0"/>
              <w:snapToGrid w:val="0"/>
              <w:spacing w:before="0" w:beforeAutospacing="0" w:after="0" w:afterAutospacing="0" w:line="360" w:lineRule="auto"/>
              <w:jc w:val="both"/>
              <w:rPr>
                <w:rFonts w:hint="default"/>
                <w:szCs w:val="18"/>
              </w:rPr>
            </w:pPr>
            <w:r>
              <w:rPr>
                <w:color w:val="000000"/>
              </w:rPr>
              <w:t>账 号：</w:t>
            </w:r>
          </w:p>
        </w:tc>
        <w:tc>
          <w:tcPr>
            <w:tcW w:w="4536" w:type="dxa"/>
            <w:shd w:val="clear" w:color="auto" w:fill="auto"/>
            <w:vAlign w:val="center"/>
          </w:tcPr>
          <w:p w14:paraId="488AC95A">
            <w:pPr>
              <w:pStyle w:val="20"/>
              <w:adjustRightInd w:val="0"/>
              <w:snapToGrid w:val="0"/>
              <w:spacing w:before="0" w:beforeAutospacing="0" w:after="0" w:afterAutospacing="0" w:line="360" w:lineRule="auto"/>
              <w:jc w:val="both"/>
              <w:rPr>
                <w:rFonts w:hint="default"/>
                <w:szCs w:val="18"/>
              </w:rPr>
            </w:pPr>
            <w:r>
              <w:rPr>
                <w:szCs w:val="18"/>
              </w:rPr>
              <w:t xml:space="preserve"> </w:t>
            </w:r>
          </w:p>
        </w:tc>
      </w:tr>
      <w:tr w14:paraId="54C65B50">
        <w:tblPrEx>
          <w:tblCellMar>
            <w:top w:w="0" w:type="dxa"/>
            <w:left w:w="108" w:type="dxa"/>
            <w:bottom w:w="0" w:type="dxa"/>
            <w:right w:w="108" w:type="dxa"/>
          </w:tblCellMar>
        </w:tblPrEx>
        <w:trPr>
          <w:trHeight w:val="58" w:hRule="atLeast"/>
          <w:jc w:val="center"/>
        </w:trPr>
        <w:tc>
          <w:tcPr>
            <w:tcW w:w="1283" w:type="dxa"/>
            <w:shd w:val="clear" w:color="auto" w:fill="auto"/>
            <w:vAlign w:val="center"/>
          </w:tcPr>
          <w:p w14:paraId="200463A5">
            <w:pPr>
              <w:pStyle w:val="20"/>
              <w:adjustRightInd w:val="0"/>
              <w:snapToGrid w:val="0"/>
              <w:spacing w:before="0" w:beforeAutospacing="0" w:after="0" w:afterAutospacing="0" w:line="360" w:lineRule="auto"/>
              <w:jc w:val="both"/>
              <w:rPr>
                <w:rFonts w:hint="default"/>
                <w:szCs w:val="18"/>
              </w:rPr>
            </w:pPr>
            <w:r>
              <w:rPr>
                <w:szCs w:val="18"/>
              </w:rPr>
              <w:t>税号：</w:t>
            </w:r>
          </w:p>
        </w:tc>
        <w:tc>
          <w:tcPr>
            <w:tcW w:w="3472" w:type="dxa"/>
            <w:shd w:val="clear" w:color="auto" w:fill="auto"/>
            <w:vAlign w:val="center"/>
          </w:tcPr>
          <w:p w14:paraId="384708D9">
            <w:pPr>
              <w:pStyle w:val="20"/>
              <w:adjustRightInd w:val="0"/>
              <w:snapToGrid w:val="0"/>
              <w:spacing w:before="0" w:beforeAutospacing="0" w:after="0" w:afterAutospacing="0" w:line="360" w:lineRule="auto"/>
              <w:jc w:val="both"/>
              <w:rPr>
                <w:rFonts w:hint="default"/>
                <w:szCs w:val="18"/>
              </w:rPr>
            </w:pPr>
          </w:p>
        </w:tc>
        <w:tc>
          <w:tcPr>
            <w:tcW w:w="1134" w:type="dxa"/>
            <w:shd w:val="clear" w:color="auto" w:fill="auto"/>
            <w:vAlign w:val="center"/>
          </w:tcPr>
          <w:p w14:paraId="6F07EB53">
            <w:pPr>
              <w:pStyle w:val="20"/>
              <w:adjustRightInd w:val="0"/>
              <w:snapToGrid w:val="0"/>
              <w:spacing w:before="0" w:beforeAutospacing="0" w:after="0" w:afterAutospacing="0" w:line="360" w:lineRule="auto"/>
              <w:jc w:val="both"/>
              <w:rPr>
                <w:rFonts w:hint="default"/>
                <w:szCs w:val="18"/>
              </w:rPr>
            </w:pPr>
            <w:r>
              <w:rPr>
                <w:szCs w:val="18"/>
              </w:rPr>
              <w:t>税号：</w:t>
            </w:r>
          </w:p>
        </w:tc>
        <w:tc>
          <w:tcPr>
            <w:tcW w:w="4536" w:type="dxa"/>
            <w:shd w:val="clear" w:color="auto" w:fill="auto"/>
            <w:vAlign w:val="center"/>
          </w:tcPr>
          <w:p w14:paraId="02320CE8">
            <w:pPr>
              <w:pStyle w:val="20"/>
              <w:adjustRightInd w:val="0"/>
              <w:snapToGrid w:val="0"/>
              <w:spacing w:before="0" w:beforeAutospacing="0" w:after="0" w:afterAutospacing="0" w:line="360" w:lineRule="auto"/>
              <w:jc w:val="both"/>
              <w:rPr>
                <w:rFonts w:hint="default"/>
                <w:szCs w:val="18"/>
              </w:rPr>
            </w:pPr>
            <w:r>
              <w:rPr>
                <w:szCs w:val="18"/>
              </w:rPr>
              <w:t xml:space="preserve"> </w:t>
            </w:r>
          </w:p>
        </w:tc>
      </w:tr>
      <w:tr w14:paraId="33BF4070">
        <w:tblPrEx>
          <w:tblCellMar>
            <w:top w:w="0" w:type="dxa"/>
            <w:left w:w="108" w:type="dxa"/>
            <w:bottom w:w="0" w:type="dxa"/>
            <w:right w:w="108" w:type="dxa"/>
          </w:tblCellMar>
        </w:tblPrEx>
        <w:trPr>
          <w:trHeight w:val="423" w:hRule="atLeast"/>
          <w:jc w:val="center"/>
        </w:trPr>
        <w:tc>
          <w:tcPr>
            <w:tcW w:w="1283" w:type="dxa"/>
            <w:shd w:val="clear" w:color="auto" w:fill="auto"/>
            <w:vAlign w:val="center"/>
          </w:tcPr>
          <w:p w14:paraId="212E4881">
            <w:pPr>
              <w:pStyle w:val="20"/>
              <w:adjustRightInd w:val="0"/>
              <w:snapToGrid w:val="0"/>
              <w:spacing w:before="0" w:beforeAutospacing="0" w:after="0" w:afterAutospacing="0" w:line="360" w:lineRule="auto"/>
              <w:jc w:val="both"/>
              <w:rPr>
                <w:rFonts w:hint="default"/>
                <w:szCs w:val="18"/>
              </w:rPr>
            </w:pPr>
          </w:p>
        </w:tc>
        <w:tc>
          <w:tcPr>
            <w:tcW w:w="3472" w:type="dxa"/>
            <w:shd w:val="clear" w:color="auto" w:fill="auto"/>
            <w:vAlign w:val="center"/>
          </w:tcPr>
          <w:p w14:paraId="4D6C5782">
            <w:pPr>
              <w:pStyle w:val="20"/>
              <w:adjustRightInd w:val="0"/>
              <w:snapToGrid w:val="0"/>
              <w:spacing w:before="0" w:beforeAutospacing="0" w:after="0" w:afterAutospacing="0" w:line="360" w:lineRule="auto"/>
              <w:jc w:val="both"/>
              <w:rPr>
                <w:rFonts w:hint="default"/>
                <w:szCs w:val="18"/>
              </w:rPr>
            </w:pPr>
          </w:p>
        </w:tc>
        <w:tc>
          <w:tcPr>
            <w:tcW w:w="1134" w:type="dxa"/>
            <w:shd w:val="clear" w:color="auto" w:fill="auto"/>
            <w:vAlign w:val="center"/>
          </w:tcPr>
          <w:p w14:paraId="60A0C981">
            <w:pPr>
              <w:pStyle w:val="20"/>
              <w:adjustRightInd w:val="0"/>
              <w:snapToGrid w:val="0"/>
              <w:spacing w:before="0" w:beforeAutospacing="0" w:after="0" w:afterAutospacing="0" w:line="360" w:lineRule="auto"/>
              <w:jc w:val="both"/>
              <w:rPr>
                <w:rFonts w:hint="default"/>
                <w:szCs w:val="18"/>
              </w:rPr>
            </w:pPr>
          </w:p>
        </w:tc>
        <w:tc>
          <w:tcPr>
            <w:tcW w:w="4536" w:type="dxa"/>
            <w:shd w:val="clear" w:color="auto" w:fill="auto"/>
            <w:vAlign w:val="center"/>
          </w:tcPr>
          <w:p w14:paraId="063C7890">
            <w:pPr>
              <w:pStyle w:val="20"/>
              <w:adjustRightInd w:val="0"/>
              <w:snapToGrid w:val="0"/>
              <w:spacing w:before="0" w:beforeAutospacing="0" w:after="0" w:afterAutospacing="0" w:line="360" w:lineRule="auto"/>
              <w:jc w:val="both"/>
              <w:rPr>
                <w:rFonts w:hint="default"/>
                <w:szCs w:val="18"/>
              </w:rPr>
            </w:pPr>
          </w:p>
        </w:tc>
      </w:tr>
    </w:tbl>
    <w:p w14:paraId="61C9C258">
      <w:pPr>
        <w:pStyle w:val="20"/>
        <w:adjustRightInd w:val="0"/>
        <w:snapToGrid w:val="0"/>
        <w:spacing w:before="0" w:beforeAutospacing="0" w:after="0" w:afterAutospacing="0" w:line="360" w:lineRule="auto"/>
        <w:outlineLvl w:val="0"/>
        <w:rPr>
          <w:rFonts w:hint="default"/>
          <w:szCs w:val="18"/>
        </w:rPr>
        <w:sectPr>
          <w:pgSz w:w="11906" w:h="16838"/>
          <w:pgMar w:top="1440" w:right="1797" w:bottom="1440" w:left="1797" w:header="851" w:footer="992" w:gutter="0"/>
          <w:cols w:space="425" w:num="1"/>
          <w:titlePg/>
          <w:docGrid w:type="linesAndChars" w:linePitch="312" w:charSpace="0"/>
        </w:sectPr>
      </w:pPr>
    </w:p>
    <w:p w14:paraId="73770DCA">
      <w:pPr>
        <w:pStyle w:val="20"/>
        <w:adjustRightInd w:val="0"/>
        <w:snapToGrid w:val="0"/>
        <w:spacing w:before="0" w:beforeAutospacing="0" w:after="0" w:afterAutospacing="0" w:line="360" w:lineRule="auto"/>
        <w:jc w:val="center"/>
        <w:outlineLvl w:val="0"/>
        <w:rPr>
          <w:rFonts w:hint="default" w:asciiTheme="majorEastAsia" w:hAnsiTheme="majorEastAsia" w:eastAsiaTheme="majorEastAsia"/>
          <w:szCs w:val="18"/>
        </w:rPr>
      </w:pPr>
      <w:bookmarkStart w:id="26" w:name="_Toc152766672"/>
      <w:bookmarkStart w:id="27" w:name="_Toc534295024"/>
      <w:bookmarkStart w:id="28" w:name="_Toc534298588"/>
      <w:bookmarkStart w:id="29" w:name="_Toc534298824"/>
      <w:r>
        <w:rPr>
          <w:rFonts w:asciiTheme="majorEastAsia" w:hAnsiTheme="majorEastAsia" w:eastAsiaTheme="majorEastAsia"/>
          <w:b/>
          <w:bCs/>
          <w:sz w:val="28"/>
          <w:szCs w:val="18"/>
        </w:rPr>
        <w:t>第二部分　　通用条款</w:t>
      </w:r>
      <w:bookmarkEnd w:id="26"/>
      <w:bookmarkEnd w:id="27"/>
      <w:bookmarkEnd w:id="28"/>
      <w:bookmarkEnd w:id="29"/>
    </w:p>
    <w:p w14:paraId="05EA3C29">
      <w:pPr>
        <w:pStyle w:val="2"/>
        <w:spacing w:before="60" w:after="60"/>
        <w:jc w:val="left"/>
        <w:rPr>
          <w:sz w:val="28"/>
          <w:szCs w:val="28"/>
        </w:rPr>
      </w:pPr>
      <w:bookmarkStart w:id="30" w:name="_Toc534294910"/>
      <w:bookmarkStart w:id="31" w:name="_Toc534295025"/>
      <w:bookmarkStart w:id="32" w:name="_Toc534298825"/>
      <w:bookmarkStart w:id="33" w:name="_Toc534298589"/>
      <w:bookmarkStart w:id="34" w:name="_Toc534294759"/>
      <w:bookmarkStart w:id="35" w:name="_Toc152766673"/>
      <w:bookmarkStart w:id="36" w:name="_Toc534294287"/>
      <w:r>
        <w:rPr>
          <w:sz w:val="28"/>
          <w:szCs w:val="28"/>
        </w:rPr>
        <w:t>一、词语定义及合同文件</w:t>
      </w:r>
      <w:bookmarkEnd w:id="30"/>
      <w:bookmarkEnd w:id="31"/>
      <w:bookmarkEnd w:id="32"/>
      <w:bookmarkEnd w:id="33"/>
      <w:bookmarkEnd w:id="34"/>
      <w:bookmarkEnd w:id="35"/>
      <w:bookmarkEnd w:id="36"/>
    </w:p>
    <w:p w14:paraId="7615DA24">
      <w:pPr>
        <w:pStyle w:val="101"/>
        <w:rPr>
          <w:sz w:val="21"/>
          <w:szCs w:val="18"/>
        </w:rPr>
      </w:pPr>
      <w:bookmarkStart w:id="37" w:name="_Toc534294760"/>
      <w:bookmarkStart w:id="38" w:name="_Toc534294911"/>
      <w:bookmarkStart w:id="39" w:name="_Toc534295026"/>
      <w:bookmarkStart w:id="40" w:name="_Toc534294288"/>
      <w:bookmarkStart w:id="41" w:name="_Toc534298826"/>
      <w:bookmarkStart w:id="42" w:name="_Toc5971541"/>
      <w:bookmarkStart w:id="43" w:name="_Toc534298590"/>
      <w:bookmarkStart w:id="44" w:name="_Toc152766674"/>
      <w:r>
        <w:t>1、词语定义</w:t>
      </w:r>
      <w:bookmarkEnd w:id="37"/>
      <w:bookmarkEnd w:id="38"/>
      <w:bookmarkEnd w:id="39"/>
      <w:bookmarkEnd w:id="40"/>
      <w:bookmarkEnd w:id="41"/>
      <w:bookmarkEnd w:id="42"/>
      <w:bookmarkEnd w:id="43"/>
      <w:bookmarkEnd w:id="44"/>
    </w:p>
    <w:p w14:paraId="3068A06A">
      <w:pPr>
        <w:pStyle w:val="20"/>
        <w:adjustRightInd w:val="0"/>
        <w:snapToGrid w:val="0"/>
        <w:spacing w:before="0" w:beforeAutospacing="0" w:after="0" w:afterAutospacing="0"/>
        <w:rPr>
          <w:rFonts w:hint="default"/>
          <w:sz w:val="21"/>
          <w:szCs w:val="18"/>
        </w:rPr>
      </w:pPr>
      <w:r>
        <w:rPr>
          <w:sz w:val="21"/>
          <w:szCs w:val="18"/>
        </w:rPr>
        <w:t>　　下列词语除《专用条款》另有约定外，应具有本条所赋予的定义：</w:t>
      </w:r>
    </w:p>
    <w:p w14:paraId="49933745">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1.1通用条款： 是根据法律、行政法规规定及建设工程施工的需要订立，被甲乙双方接受的通用于甲方的建设工程施工的条款。</w:t>
      </w:r>
    </w:p>
    <w:p w14:paraId="1FA07FAD">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1.2《专用条款》： 是甲方与乙方根据法律、行政法规规定，结合具体工程实际，经协商达成一致意见，被甲乙双方接受的条款，是对通用条款的具体化、补充或修改。</w:t>
      </w:r>
    </w:p>
    <w:p w14:paraId="48CDBE98">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1.3 甲方： 指本合同工程的发包方，承担本合同中规定的全部甲方责任。</w:t>
      </w:r>
    </w:p>
    <w:p w14:paraId="78AB8AFD">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1.4 乙方： 指本合同工程的工程施工方，承担本合同中规定的全部乙方责任。</w:t>
      </w:r>
    </w:p>
    <w:p w14:paraId="224E98DA">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1.5项目经理：指乙方在《专用条款》》中指定的负责施工管理和合同执行的乙方代表。</w:t>
      </w:r>
    </w:p>
    <w:p w14:paraId="5CC4FDC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1.6设计单位：指甲方委托的负责本工程设计并取得相应工程设计资质等级证书的单位。</w:t>
      </w:r>
    </w:p>
    <w:p w14:paraId="2727AC9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1.7监理单位：指甲方委托的负责本工程监理并取得相应工程监理资质等级证书的单位。</w:t>
      </w:r>
    </w:p>
    <w:p w14:paraId="789111F5">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1.8监理工程师：指本工程监理单位委派的实施监理的代表。</w:t>
      </w:r>
    </w:p>
    <w:p w14:paraId="5E73746A">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1.9工程造价管理部门： 指国务院有关部门、县级以上人民政府建设行政主管部门或其委托的工程造价管理机构。</w:t>
      </w:r>
    </w:p>
    <w:p w14:paraId="51EC902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1.10合同工程：指甲乙双方在协议书中约定的承包范围内的工程。</w:t>
      </w:r>
    </w:p>
    <w:p w14:paraId="645BBB54">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1.11合同价款：指甲乙双方在协议书中约定，甲方用以支付乙方按照合同约定完成承包范围内全部工程并承担质量保修责任的款项。</w:t>
      </w:r>
    </w:p>
    <w:p w14:paraId="69AAE05C">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1.12费用：指不包含在合同价款之内的应当由甲方或乙方承担的经济支出。</w:t>
      </w:r>
    </w:p>
    <w:p w14:paraId="3675E3D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1.13工期：指甲乙双方在协议书中约定，按总日历天数（包括法定节假日）计算的承包天数。</w:t>
      </w:r>
    </w:p>
    <w:p w14:paraId="4AFDF14B">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1.14开工日期：指甲乙双方在协议书中约定，乙方开始施工的绝对或相对的日期。</w:t>
      </w:r>
    </w:p>
    <w:p w14:paraId="1F7D8B3F">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1.15竣工日期：指甲乙双方在协议书约定，乙方完成承包范围内工程的绝对或相对的日期。</w:t>
      </w:r>
    </w:p>
    <w:p w14:paraId="0096B9E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1.16图纸：指由甲方提供或由乙方提供并经甲方批准，满足乙方施工需要的所有图纸（包括配套说明和有关资料）。</w:t>
      </w:r>
    </w:p>
    <w:p w14:paraId="3EC49C61">
      <w:pPr>
        <w:pStyle w:val="20"/>
        <w:adjustRightInd w:val="0"/>
        <w:snapToGrid w:val="0"/>
        <w:spacing w:before="0" w:beforeAutospacing="0" w:after="0" w:afterAutospacing="0"/>
        <w:ind w:firstLine="420" w:firstLineChars="200"/>
        <w:rPr>
          <w:rFonts w:hint="default"/>
          <w:sz w:val="21"/>
          <w:szCs w:val="18"/>
        </w:rPr>
      </w:pPr>
      <w:r>
        <w:rPr>
          <w:rFonts w:hint="default"/>
          <w:sz w:val="21"/>
          <w:szCs w:val="18"/>
        </w:rPr>
        <w:t>1.17施工场地：指由甲方提供的用于工程施工的场所以及甲方在图纸中具体指定的供施工使用的任何其他场所。</w:t>
      </w:r>
    </w:p>
    <w:p w14:paraId="65E62C94">
      <w:pPr>
        <w:pStyle w:val="20"/>
        <w:adjustRightInd w:val="0"/>
        <w:snapToGrid w:val="0"/>
        <w:spacing w:before="0" w:beforeAutospacing="0" w:after="0" w:afterAutospacing="0"/>
        <w:ind w:firstLine="420" w:firstLineChars="200"/>
        <w:rPr>
          <w:rFonts w:hint="default"/>
          <w:sz w:val="21"/>
          <w:szCs w:val="18"/>
        </w:rPr>
      </w:pPr>
      <w:r>
        <w:rPr>
          <w:rFonts w:hint="default"/>
          <w:sz w:val="21"/>
          <w:szCs w:val="18"/>
        </w:rPr>
        <w:t>1.18书面形式：指具有甲方、乙方或双方签字的合同书、信件和数据电文（包括电报、电传、传真）等可以有形地表现所载内容的形式。</w:t>
      </w:r>
    </w:p>
    <w:p w14:paraId="20AF155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1.19违约责任：指合同一方不履行合同义务或履行合同义务不符合约定所应承担的责任。</w:t>
      </w:r>
    </w:p>
    <w:p w14:paraId="0357559F">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1.20索赔：指在合同履行过程中，对于并非自己的过错，而是应由对方承担责任的情况造成的实际损失，向对方提出经济补偿和（或）工期顺延的要求。</w:t>
      </w:r>
    </w:p>
    <w:p w14:paraId="147246C3">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1.21不可抗力：指不能预见、不能避免并不能克服的客观情况。</w:t>
      </w:r>
    </w:p>
    <w:p w14:paraId="6DFEBE29">
      <w:pPr>
        <w:pStyle w:val="20"/>
        <w:adjustRightInd w:val="0"/>
        <w:snapToGrid w:val="0"/>
        <w:spacing w:before="0" w:beforeAutospacing="0" w:after="0" w:afterAutospacing="0"/>
        <w:rPr>
          <w:rFonts w:hint="default"/>
          <w:sz w:val="21"/>
          <w:szCs w:val="18"/>
        </w:rPr>
      </w:pPr>
      <w:r>
        <w:rPr>
          <w:sz w:val="21"/>
          <w:szCs w:val="18"/>
        </w:rPr>
        <w:t>　　1.22小时或天:本合同中规定按小时计算时间的,从事件有效开始时计算(不扣除休息时间)；规定按天计算时间的，开始当天不计如，从次日开始计算。时限的最后一天是休息日或者其他法定节假日的，以节假日次日为实现的最后一天，但竣工日期除外。实现的最后一天的截止时间为当日24时。</w:t>
      </w:r>
    </w:p>
    <w:p w14:paraId="0F3B2A89">
      <w:pPr>
        <w:pStyle w:val="101"/>
      </w:pPr>
      <w:bookmarkStart w:id="45" w:name="_Toc534294289"/>
      <w:bookmarkStart w:id="46" w:name="_Toc534294912"/>
      <w:bookmarkStart w:id="47" w:name="_Toc534298591"/>
      <w:bookmarkStart w:id="48" w:name="_Toc534295027"/>
      <w:bookmarkStart w:id="49" w:name="_Toc152766675"/>
      <w:bookmarkStart w:id="50" w:name="_Toc534298827"/>
      <w:bookmarkStart w:id="51" w:name="_Toc5971542"/>
      <w:bookmarkStart w:id="52" w:name="_Toc534294761"/>
      <w:r>
        <w:t>2、合同文件及解释顺序</w:t>
      </w:r>
      <w:bookmarkEnd w:id="45"/>
      <w:bookmarkEnd w:id="46"/>
      <w:bookmarkEnd w:id="47"/>
      <w:bookmarkEnd w:id="48"/>
      <w:bookmarkEnd w:id="49"/>
      <w:bookmarkEnd w:id="50"/>
      <w:bookmarkEnd w:id="51"/>
      <w:bookmarkEnd w:id="52"/>
    </w:p>
    <w:p w14:paraId="567B203F">
      <w:pPr>
        <w:pStyle w:val="20"/>
        <w:adjustRightInd w:val="0"/>
        <w:snapToGrid w:val="0"/>
        <w:spacing w:before="0" w:beforeAutospacing="0" w:after="0" w:afterAutospacing="0"/>
        <w:ind w:firstLine="420"/>
        <w:rPr>
          <w:rFonts w:hint="default"/>
          <w:sz w:val="21"/>
          <w:szCs w:val="18"/>
        </w:rPr>
      </w:pPr>
      <w:r>
        <w:rPr>
          <w:sz w:val="21"/>
          <w:szCs w:val="18"/>
        </w:rPr>
        <w:t>合同文件应能相互解释，</w:t>
      </w:r>
      <w:r>
        <w:rPr>
          <w:rFonts w:hint="default"/>
          <w:sz w:val="21"/>
          <w:szCs w:val="18"/>
        </w:rPr>
        <w:t>互为说明。除《专用条款》另有约定外，组成本合同的文件及优先解释顺序如下：</w:t>
      </w:r>
    </w:p>
    <w:p w14:paraId="6B99D6BD">
      <w:pPr>
        <w:pStyle w:val="20"/>
        <w:adjustRightInd w:val="0"/>
        <w:snapToGrid w:val="0"/>
        <w:spacing w:before="0" w:beforeAutospacing="0" w:after="0" w:afterAutospacing="0"/>
        <w:rPr>
          <w:rFonts w:hint="default"/>
          <w:sz w:val="21"/>
          <w:szCs w:val="18"/>
        </w:rPr>
      </w:pPr>
      <w:r>
        <w:rPr>
          <w:sz w:val="21"/>
          <w:szCs w:val="18"/>
        </w:rPr>
        <w:t>1、本合同协议书；</w:t>
      </w:r>
    </w:p>
    <w:p w14:paraId="241F6A4D">
      <w:pPr>
        <w:pStyle w:val="20"/>
        <w:adjustRightInd w:val="0"/>
        <w:snapToGrid w:val="0"/>
        <w:spacing w:before="0" w:beforeAutospacing="0" w:after="0" w:afterAutospacing="0"/>
        <w:rPr>
          <w:rFonts w:hint="default"/>
          <w:sz w:val="21"/>
          <w:szCs w:val="18"/>
        </w:rPr>
      </w:pPr>
      <w:r>
        <w:rPr>
          <w:sz w:val="21"/>
          <w:szCs w:val="18"/>
        </w:rPr>
        <w:t>2、本合同《专用条款》；</w:t>
      </w:r>
    </w:p>
    <w:p w14:paraId="4B28C65C">
      <w:pPr>
        <w:pStyle w:val="20"/>
        <w:adjustRightInd w:val="0"/>
        <w:snapToGrid w:val="0"/>
        <w:spacing w:before="0" w:beforeAutospacing="0" w:after="0" w:afterAutospacing="0"/>
        <w:rPr>
          <w:rFonts w:hint="default"/>
          <w:sz w:val="21"/>
          <w:szCs w:val="18"/>
        </w:rPr>
      </w:pPr>
      <w:r>
        <w:rPr>
          <w:sz w:val="21"/>
          <w:szCs w:val="18"/>
        </w:rPr>
        <w:t>3、本合同通用条款；</w:t>
      </w:r>
    </w:p>
    <w:p w14:paraId="17F20C4E">
      <w:pPr>
        <w:pStyle w:val="20"/>
        <w:adjustRightInd w:val="0"/>
        <w:snapToGrid w:val="0"/>
        <w:spacing w:before="0" w:beforeAutospacing="0" w:after="0" w:afterAutospacing="0"/>
        <w:rPr>
          <w:rFonts w:hint="default"/>
          <w:sz w:val="21"/>
          <w:szCs w:val="18"/>
        </w:rPr>
      </w:pPr>
      <w:r>
        <w:rPr>
          <w:sz w:val="21"/>
          <w:szCs w:val="18"/>
        </w:rPr>
        <w:t>4、招标文件及其附件；</w:t>
      </w:r>
    </w:p>
    <w:p w14:paraId="19BCC2DD">
      <w:pPr>
        <w:pStyle w:val="20"/>
        <w:adjustRightInd w:val="0"/>
        <w:snapToGrid w:val="0"/>
        <w:spacing w:before="0" w:beforeAutospacing="0" w:after="0" w:afterAutospacing="0"/>
        <w:rPr>
          <w:rFonts w:hint="default"/>
          <w:sz w:val="21"/>
          <w:szCs w:val="18"/>
        </w:rPr>
      </w:pPr>
      <w:r>
        <w:rPr>
          <w:sz w:val="21"/>
          <w:szCs w:val="18"/>
        </w:rPr>
        <w:t>5、图纸及设计要求；</w:t>
      </w:r>
    </w:p>
    <w:p w14:paraId="2F142B10">
      <w:pPr>
        <w:pStyle w:val="20"/>
        <w:adjustRightInd w:val="0"/>
        <w:snapToGrid w:val="0"/>
        <w:spacing w:before="0" w:beforeAutospacing="0" w:after="0" w:afterAutospacing="0"/>
        <w:rPr>
          <w:rFonts w:hint="default"/>
          <w:sz w:val="21"/>
          <w:szCs w:val="18"/>
        </w:rPr>
      </w:pPr>
      <w:r>
        <w:rPr>
          <w:sz w:val="21"/>
          <w:szCs w:val="18"/>
        </w:rPr>
        <w:t>6、工程量清单；</w:t>
      </w:r>
    </w:p>
    <w:p w14:paraId="4A72F02E">
      <w:pPr>
        <w:pStyle w:val="20"/>
        <w:adjustRightInd w:val="0"/>
        <w:snapToGrid w:val="0"/>
        <w:spacing w:before="0" w:beforeAutospacing="0" w:after="0" w:afterAutospacing="0"/>
        <w:rPr>
          <w:rFonts w:hint="default"/>
          <w:sz w:val="21"/>
          <w:szCs w:val="18"/>
        </w:rPr>
      </w:pPr>
      <w:r>
        <w:rPr>
          <w:sz w:val="21"/>
          <w:szCs w:val="18"/>
        </w:rPr>
        <w:t>7、投标书及澄清文件；</w:t>
      </w:r>
    </w:p>
    <w:p w14:paraId="432ED5C3">
      <w:pPr>
        <w:pStyle w:val="20"/>
        <w:adjustRightInd w:val="0"/>
        <w:snapToGrid w:val="0"/>
        <w:spacing w:before="0" w:beforeAutospacing="0" w:after="0" w:afterAutospacing="0"/>
        <w:rPr>
          <w:rFonts w:hint="default"/>
          <w:sz w:val="21"/>
          <w:szCs w:val="18"/>
        </w:rPr>
      </w:pPr>
      <w:r>
        <w:rPr>
          <w:sz w:val="21"/>
          <w:szCs w:val="18"/>
        </w:rPr>
        <w:t>8、工程报价单或预算书；</w:t>
      </w:r>
    </w:p>
    <w:p w14:paraId="77F70C62">
      <w:pPr>
        <w:pStyle w:val="20"/>
        <w:adjustRightInd w:val="0"/>
        <w:snapToGrid w:val="0"/>
        <w:spacing w:before="0" w:beforeAutospacing="0" w:after="0" w:afterAutospacing="0"/>
        <w:rPr>
          <w:rFonts w:hint="default"/>
          <w:sz w:val="21"/>
          <w:szCs w:val="18"/>
        </w:rPr>
      </w:pPr>
      <w:r>
        <w:rPr>
          <w:sz w:val="21"/>
          <w:szCs w:val="18"/>
        </w:rPr>
        <w:t>9、标准、规范及有关技术文件。</w:t>
      </w:r>
    </w:p>
    <w:p w14:paraId="04903466">
      <w:pPr>
        <w:pStyle w:val="20"/>
        <w:adjustRightInd w:val="0"/>
        <w:snapToGrid w:val="0"/>
        <w:spacing w:before="0" w:beforeAutospacing="0" w:after="0" w:afterAutospacing="0"/>
        <w:ind w:firstLine="420"/>
        <w:rPr>
          <w:rFonts w:hint="default"/>
          <w:sz w:val="21"/>
          <w:szCs w:val="18"/>
        </w:rPr>
      </w:pPr>
      <w:r>
        <w:rPr>
          <w:sz w:val="21"/>
          <w:szCs w:val="18"/>
        </w:rPr>
        <w:t>双方有关工程的洽商、变更等书面协议或文件视为本合同的组成部分。上述文件应认为互为补充和解释，但如有含义不清或互相矛盾之处，以上述文件次序在前者为准。</w:t>
      </w:r>
    </w:p>
    <w:p w14:paraId="19D14824">
      <w:pPr>
        <w:pStyle w:val="101"/>
      </w:pPr>
      <w:bookmarkStart w:id="53" w:name="_Toc534298828"/>
      <w:bookmarkStart w:id="54" w:name="_Toc534294762"/>
      <w:bookmarkStart w:id="55" w:name="_Toc534295028"/>
      <w:bookmarkStart w:id="56" w:name="_Toc534294913"/>
      <w:bookmarkStart w:id="57" w:name="_Toc534298592"/>
      <w:bookmarkStart w:id="58" w:name="_Toc534294290"/>
      <w:bookmarkStart w:id="59" w:name="_Toc152766676"/>
      <w:bookmarkStart w:id="60" w:name="_Toc5971543"/>
      <w:r>
        <w:t>3、适用法律、标准及规范</w:t>
      </w:r>
      <w:bookmarkEnd w:id="53"/>
      <w:bookmarkEnd w:id="54"/>
      <w:bookmarkEnd w:id="55"/>
      <w:bookmarkEnd w:id="56"/>
      <w:bookmarkEnd w:id="57"/>
      <w:bookmarkEnd w:id="58"/>
      <w:bookmarkEnd w:id="59"/>
      <w:bookmarkEnd w:id="60"/>
      <w:r>
        <w:t xml:space="preserve"> </w:t>
      </w:r>
    </w:p>
    <w:p w14:paraId="298E613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3.1适用法律和法规</w:t>
      </w:r>
    </w:p>
    <w:p w14:paraId="539CFE4B">
      <w:pPr>
        <w:pStyle w:val="20"/>
        <w:adjustRightInd w:val="0"/>
        <w:snapToGrid w:val="0"/>
        <w:spacing w:before="0" w:beforeAutospacing="0" w:after="0" w:afterAutospacing="0"/>
        <w:rPr>
          <w:rFonts w:hint="default"/>
          <w:sz w:val="21"/>
          <w:szCs w:val="18"/>
        </w:rPr>
      </w:pPr>
      <w:r>
        <w:rPr>
          <w:sz w:val="21"/>
          <w:szCs w:val="18"/>
        </w:rPr>
        <w:t>　　本合同文件适用国家的法律和行政法规。需要明示的法律、行政法规，由双方在《专用条款》中约定。</w:t>
      </w:r>
    </w:p>
    <w:p w14:paraId="0EDA5A58">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3.2适用标准、规范</w:t>
      </w:r>
    </w:p>
    <w:p w14:paraId="2A2CCF31">
      <w:pPr>
        <w:pStyle w:val="20"/>
        <w:adjustRightInd w:val="0"/>
        <w:snapToGrid w:val="0"/>
        <w:spacing w:before="0" w:beforeAutospacing="0" w:after="0" w:afterAutospacing="0"/>
        <w:rPr>
          <w:rFonts w:hint="default"/>
          <w:sz w:val="21"/>
          <w:szCs w:val="18"/>
        </w:rPr>
      </w:pPr>
      <w:r>
        <w:rPr>
          <w:sz w:val="21"/>
          <w:szCs w:val="18"/>
        </w:rPr>
        <w:t>　　双方在《专用条款》内约定适用国家标准、规范的名称；没有国家标准、规范但有行业标准、规范的，约定适用行业标准、规范的名称；没有国家和行业标准、规范的，约定适用工程所在地地方标准、规范的名称。</w:t>
      </w:r>
    </w:p>
    <w:p w14:paraId="22EB500B">
      <w:pPr>
        <w:pStyle w:val="20"/>
        <w:adjustRightInd w:val="0"/>
        <w:snapToGrid w:val="0"/>
        <w:spacing w:before="0" w:beforeAutospacing="0" w:after="0" w:afterAutospacing="0"/>
        <w:rPr>
          <w:rFonts w:hint="default"/>
          <w:sz w:val="21"/>
          <w:szCs w:val="18"/>
        </w:rPr>
      </w:pPr>
      <w:r>
        <w:rPr>
          <w:sz w:val="21"/>
          <w:szCs w:val="18"/>
        </w:rPr>
        <w:t>　　国内没有相应标准、规范的，由甲方按《专用条款》约定的时间向乙方提出施工技术要求，乙方按约定的时间和要求提出施工工艺，经甲方认可后执行。甲方要求使用国外标准、规范的，应负责提供中文译本。</w:t>
      </w:r>
    </w:p>
    <w:p w14:paraId="43855679">
      <w:pPr>
        <w:pStyle w:val="101"/>
      </w:pPr>
      <w:bookmarkStart w:id="61" w:name="_Toc534298593"/>
      <w:bookmarkStart w:id="62" w:name="_Toc534294291"/>
      <w:bookmarkStart w:id="63" w:name="_Toc534298829"/>
      <w:bookmarkStart w:id="64" w:name="_Toc534294914"/>
      <w:bookmarkStart w:id="65" w:name="_Toc152766677"/>
      <w:bookmarkStart w:id="66" w:name="_Toc5971544"/>
      <w:bookmarkStart w:id="67" w:name="_Toc534295029"/>
      <w:bookmarkStart w:id="68" w:name="_Toc534294763"/>
      <w:r>
        <w:t>4、图纸</w:t>
      </w:r>
      <w:bookmarkEnd w:id="61"/>
      <w:bookmarkEnd w:id="62"/>
      <w:bookmarkEnd w:id="63"/>
      <w:bookmarkEnd w:id="64"/>
      <w:bookmarkEnd w:id="65"/>
      <w:bookmarkEnd w:id="66"/>
      <w:bookmarkEnd w:id="67"/>
      <w:bookmarkEnd w:id="68"/>
    </w:p>
    <w:p w14:paraId="4183B6C4">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4.1甲方应按《专用条款》约定的日期和套数， 向乙方提供图纸。</w:t>
      </w:r>
    </w:p>
    <w:p w14:paraId="59DDA0E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4.2乙方应做好图纸保密工作，未经甲方同意， 不得将本工程图纸转给第三方。否则所造成的后果由乙方负责。</w:t>
      </w:r>
    </w:p>
    <w:p w14:paraId="2ACCDD39">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4.3乙方应在施工现场保留一套完整图纸， 供甲方、监理单位及有关人员进行工程检查时使用。</w:t>
      </w:r>
    </w:p>
    <w:p w14:paraId="28B1EE31">
      <w:pPr>
        <w:pStyle w:val="2"/>
        <w:spacing w:before="60" w:after="60"/>
        <w:jc w:val="left"/>
        <w:rPr>
          <w:sz w:val="28"/>
          <w:szCs w:val="28"/>
        </w:rPr>
      </w:pPr>
      <w:bookmarkStart w:id="69" w:name="_Toc152766678"/>
      <w:bookmarkStart w:id="70" w:name="_Toc534298594"/>
      <w:bookmarkStart w:id="71" w:name="_Toc534294915"/>
      <w:bookmarkStart w:id="72" w:name="_Toc534298830"/>
      <w:bookmarkStart w:id="73" w:name="_Toc534294292"/>
      <w:bookmarkStart w:id="74" w:name="_Toc534295030"/>
      <w:bookmarkStart w:id="75" w:name="_Toc534294764"/>
      <w:r>
        <w:rPr>
          <w:sz w:val="28"/>
          <w:szCs w:val="28"/>
        </w:rPr>
        <w:t>二、双方一般权利和义务</w:t>
      </w:r>
      <w:bookmarkEnd w:id="69"/>
      <w:bookmarkEnd w:id="70"/>
      <w:bookmarkEnd w:id="71"/>
      <w:bookmarkEnd w:id="72"/>
      <w:bookmarkEnd w:id="73"/>
      <w:bookmarkEnd w:id="74"/>
      <w:bookmarkEnd w:id="75"/>
    </w:p>
    <w:p w14:paraId="19524CB0">
      <w:pPr>
        <w:pStyle w:val="101"/>
        <w:rPr>
          <w:b w:val="0"/>
          <w:bCs w:val="0"/>
          <w:sz w:val="21"/>
          <w:szCs w:val="18"/>
        </w:rPr>
      </w:pPr>
      <w:bookmarkStart w:id="76" w:name="_Toc534298595"/>
      <w:bookmarkStart w:id="77" w:name="_Toc152766679"/>
      <w:bookmarkStart w:id="78" w:name="_Toc534294765"/>
      <w:bookmarkStart w:id="79" w:name="_Toc5971546"/>
      <w:bookmarkStart w:id="80" w:name="_Toc534298831"/>
      <w:bookmarkStart w:id="81" w:name="_Toc534295031"/>
      <w:bookmarkStart w:id="82" w:name="_Toc534294293"/>
      <w:bookmarkStart w:id="83" w:name="_Toc534294916"/>
      <w:r>
        <w:t>5、甲方代表和监理工程师</w:t>
      </w:r>
      <w:bookmarkEnd w:id="76"/>
      <w:bookmarkEnd w:id="77"/>
      <w:bookmarkEnd w:id="78"/>
      <w:bookmarkEnd w:id="79"/>
      <w:bookmarkEnd w:id="80"/>
      <w:bookmarkEnd w:id="81"/>
      <w:bookmarkEnd w:id="82"/>
      <w:bookmarkEnd w:id="83"/>
    </w:p>
    <w:p w14:paraId="22B5E5C8">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5.1实行工程监理的工程， 甲方应在实施监理前将委托的监理单位名称、监理内容及监理权限以书面形式通知乙方。</w:t>
      </w:r>
    </w:p>
    <w:p w14:paraId="47C10BF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5.2监理单位委派的监理工程师，其姓名、职务、职权由甲方乙方在《专用条款》内写明。</w:t>
      </w:r>
    </w:p>
    <w:p w14:paraId="17F4DBD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5.3甲方派驻施工场地履行合同的代表在本合同中称甲方代表，其姓名、职务、职权由甲方在《专用条款》内写明，甲方代表与监理工程师职权发生矛盾或不明确时，由甲方予以明确，并以书面形式通知乙方。</w:t>
      </w:r>
    </w:p>
    <w:p w14:paraId="6C37FB48">
      <w:pPr>
        <w:pStyle w:val="20"/>
        <w:adjustRightInd w:val="0"/>
        <w:snapToGrid w:val="0"/>
        <w:spacing w:before="0" w:beforeAutospacing="0" w:after="0" w:afterAutospacing="0"/>
        <w:ind w:firstLine="480"/>
        <w:rPr>
          <w:rFonts w:hint="default"/>
          <w:sz w:val="21"/>
          <w:szCs w:val="18"/>
        </w:rPr>
      </w:pPr>
      <w:r>
        <w:rPr>
          <w:rFonts w:hint="default"/>
          <w:sz w:val="21"/>
          <w:szCs w:val="18"/>
        </w:rPr>
        <w:t>5.4合同履行中， 发生影响甲乙双方权利或义务的事件时，监理工程师应依据合同在其职权范围内客观公正地进行处理。</w:t>
      </w:r>
    </w:p>
    <w:p w14:paraId="6DF12CC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5.5除非合同内有明确约定或经甲方同意外，负责监理的工程师无权解除本合同约定的乙方的任何权利与义务。</w:t>
      </w:r>
    </w:p>
    <w:p w14:paraId="0D9547B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5.6不实行工程监理的工程， 由甲方派驻施工场地履行合同的代表按合同约定行使职权。</w:t>
      </w:r>
    </w:p>
    <w:p w14:paraId="4CEC9A82">
      <w:pPr>
        <w:pStyle w:val="101"/>
      </w:pPr>
      <w:bookmarkStart w:id="84" w:name="_Toc5971547"/>
      <w:bookmarkStart w:id="85" w:name="_Toc534295032"/>
      <w:bookmarkStart w:id="86" w:name="_Toc534294294"/>
      <w:bookmarkStart w:id="87" w:name="_Toc534298596"/>
      <w:bookmarkStart w:id="88" w:name="_Toc152766680"/>
      <w:bookmarkStart w:id="89" w:name="_Toc534294917"/>
      <w:bookmarkStart w:id="90" w:name="_Toc534294766"/>
      <w:bookmarkStart w:id="91" w:name="_Toc534298832"/>
      <w:r>
        <w:t>6、甲方代表或监理工程师的指令</w:t>
      </w:r>
      <w:bookmarkEnd w:id="84"/>
      <w:bookmarkEnd w:id="85"/>
      <w:bookmarkEnd w:id="86"/>
      <w:bookmarkEnd w:id="87"/>
      <w:bookmarkEnd w:id="88"/>
      <w:bookmarkEnd w:id="89"/>
      <w:bookmarkEnd w:id="90"/>
      <w:bookmarkEnd w:id="91"/>
    </w:p>
    <w:p w14:paraId="6CA2714D">
      <w:pPr>
        <w:pStyle w:val="20"/>
        <w:adjustRightInd w:val="0"/>
        <w:snapToGrid w:val="0"/>
        <w:spacing w:before="0" w:beforeAutospacing="0" w:after="0" w:afterAutospacing="0"/>
        <w:ind w:firstLine="480"/>
        <w:rPr>
          <w:rFonts w:hint="default"/>
          <w:sz w:val="21"/>
          <w:szCs w:val="18"/>
        </w:rPr>
      </w:pPr>
      <w:r>
        <w:rPr>
          <w:rFonts w:hint="default"/>
          <w:sz w:val="21"/>
          <w:szCs w:val="18"/>
        </w:rPr>
        <w:t>6.1甲方代表或监理工程师的指令或通知由其本人签字后，以书面形式交给项目经理，项目经理在回执上签署姓名和收到时间后生效。确有必要时，甲方代表或监理工程师可发出口头指令，并在48小时内给予书面确认，乙方对甲方代表或监理工程师的指令应予执行，</w:t>
      </w:r>
      <w:r>
        <w:rPr>
          <w:sz w:val="21"/>
          <w:szCs w:val="18"/>
        </w:rPr>
        <w:t>甲方收到乙方书面确认要求后48小时内不予答复的，视为口头指令已被确认。</w:t>
      </w:r>
    </w:p>
    <w:p w14:paraId="262B4416">
      <w:pPr>
        <w:pStyle w:val="20"/>
        <w:adjustRightInd w:val="0"/>
        <w:snapToGrid w:val="0"/>
        <w:spacing w:before="0" w:beforeAutospacing="0" w:after="0" w:afterAutospacing="0"/>
        <w:ind w:firstLine="480"/>
        <w:rPr>
          <w:rFonts w:hint="default"/>
          <w:sz w:val="21"/>
          <w:szCs w:val="18"/>
        </w:rPr>
      </w:pPr>
      <w:r>
        <w:rPr>
          <w:rFonts w:hint="default"/>
          <w:sz w:val="21"/>
          <w:szCs w:val="18"/>
        </w:rPr>
        <w:t>6.2乙方认为甲方代表或监理工程师指令不合理，应在收到指令后24小时内向甲方代表或监理工程师提出修改指令的书面报告，甲方代表或监理工程师在收到乙方报告后24小时内作出修改指令或继续执行原指令的决定，并以书面形式通知乙方。紧急情况下，甲方代表或监理工程师要求乙方立即执行的指令或乙方虽有异议，但甲方代表或监理工程师决定仍继续执行的指令，乙方应予执行。</w:t>
      </w:r>
      <w:r>
        <w:rPr>
          <w:sz w:val="21"/>
          <w:szCs w:val="18"/>
        </w:rPr>
        <w:t>因指令错误发生的增加工程费用由甲方承担，延误的工期相应顺延。</w:t>
      </w:r>
    </w:p>
    <w:p w14:paraId="12F3EBBF">
      <w:pPr>
        <w:pStyle w:val="20"/>
        <w:adjustRightInd w:val="0"/>
        <w:snapToGrid w:val="0"/>
        <w:spacing w:before="0" w:beforeAutospacing="0" w:after="0" w:afterAutospacing="0"/>
        <w:ind w:firstLine="420" w:firstLineChars="200"/>
        <w:rPr>
          <w:rFonts w:hint="default"/>
          <w:sz w:val="21"/>
          <w:szCs w:val="18"/>
        </w:rPr>
      </w:pPr>
      <w:r>
        <w:rPr>
          <w:rFonts w:hint="default"/>
          <w:sz w:val="21"/>
          <w:szCs w:val="18"/>
        </w:rPr>
        <w:t>6.3甲方代表或监理工程师应按合同约定，及时向乙方提供所需指令、批准并履行约定的其他义务，</w:t>
      </w:r>
      <w:r>
        <w:rPr>
          <w:sz w:val="21"/>
          <w:szCs w:val="18"/>
        </w:rPr>
        <w:t>否则延误的工期相应顺延。</w:t>
      </w:r>
    </w:p>
    <w:p w14:paraId="3DCEFCA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6.4如需更换甲方代表或监理工程师，甲方应至少提前7天以书面形式通知乙方；后任者继续行使合同文件约定的前任的职权，履行前任的义务。</w:t>
      </w:r>
    </w:p>
    <w:p w14:paraId="152BC12E">
      <w:pPr>
        <w:pStyle w:val="101"/>
        <w:rPr>
          <w:b w:val="0"/>
          <w:bCs w:val="0"/>
          <w:sz w:val="21"/>
          <w:szCs w:val="18"/>
        </w:rPr>
      </w:pPr>
      <w:bookmarkStart w:id="92" w:name="_Toc5971548"/>
      <w:bookmarkStart w:id="93" w:name="_Toc152766681"/>
      <w:bookmarkStart w:id="94" w:name="_Toc534294295"/>
      <w:bookmarkStart w:id="95" w:name="_Toc534298597"/>
      <w:bookmarkStart w:id="96" w:name="_Toc534294767"/>
      <w:bookmarkStart w:id="97" w:name="_Toc534295033"/>
      <w:bookmarkStart w:id="98" w:name="_Toc534294918"/>
      <w:bookmarkStart w:id="99" w:name="_Toc534298833"/>
      <w:r>
        <w:t>7、项目经理</w:t>
      </w:r>
      <w:bookmarkEnd w:id="92"/>
      <w:bookmarkEnd w:id="93"/>
      <w:bookmarkEnd w:id="94"/>
      <w:bookmarkEnd w:id="95"/>
      <w:bookmarkEnd w:id="96"/>
      <w:bookmarkEnd w:id="97"/>
      <w:bookmarkEnd w:id="98"/>
      <w:bookmarkEnd w:id="99"/>
    </w:p>
    <w:p w14:paraId="09B945D9">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7.1项目经理的姓名、职务在《专用条款》内写明。</w:t>
      </w:r>
    </w:p>
    <w:p w14:paraId="7A0C78D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7.2乙方依据合同发出的通知， 以书面形式由项目经理签字后送交甲方，甲方代表在回执上签署姓名和收到时间后生效。</w:t>
      </w:r>
    </w:p>
    <w:p w14:paraId="4BA8DCC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7.3乙方如需要更换项目经理，应至少提前7天以书面形式通知甲方，并征得甲方同意。后任者继续行使合同文件约定的前任的职权，履行前任的义务。</w:t>
      </w:r>
    </w:p>
    <w:p w14:paraId="56AA514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7.4甲方有权要求乙方更换甲方认为不称职的项目经理。</w:t>
      </w:r>
    </w:p>
    <w:p w14:paraId="6334A71E">
      <w:pPr>
        <w:pStyle w:val="101"/>
        <w:rPr>
          <w:b w:val="0"/>
          <w:bCs w:val="0"/>
          <w:sz w:val="21"/>
          <w:szCs w:val="18"/>
        </w:rPr>
      </w:pPr>
      <w:bookmarkStart w:id="100" w:name="_Toc534294296"/>
      <w:bookmarkStart w:id="101" w:name="_Toc534294768"/>
      <w:bookmarkStart w:id="102" w:name="_Toc534298834"/>
      <w:bookmarkStart w:id="103" w:name="_Toc534295034"/>
      <w:bookmarkStart w:id="104" w:name="_Toc534294919"/>
      <w:bookmarkStart w:id="105" w:name="_Toc534298598"/>
      <w:bookmarkStart w:id="106" w:name="_Toc152766682"/>
      <w:bookmarkStart w:id="107" w:name="_Toc5971549"/>
      <w:r>
        <w:t>8、甲方工作</w:t>
      </w:r>
      <w:bookmarkEnd w:id="100"/>
      <w:bookmarkEnd w:id="101"/>
      <w:bookmarkEnd w:id="102"/>
      <w:bookmarkEnd w:id="103"/>
      <w:bookmarkEnd w:id="104"/>
      <w:bookmarkEnd w:id="105"/>
      <w:bookmarkEnd w:id="106"/>
      <w:bookmarkEnd w:id="107"/>
    </w:p>
    <w:p w14:paraId="59E851A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8.1甲方按《专用条款》约定的内容和时间完成以下工作：</w:t>
      </w:r>
    </w:p>
    <w:p w14:paraId="735CEE65">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1）办理土地征用、拆迁补偿等工作（含施工临时用地的租用），使施工场地具备施工条件</w:t>
      </w:r>
      <w:r>
        <w:rPr>
          <w:sz w:val="21"/>
          <w:szCs w:val="18"/>
        </w:rPr>
        <w:t>（三通一平）</w:t>
      </w:r>
      <w:r>
        <w:rPr>
          <w:rFonts w:hint="default"/>
          <w:sz w:val="21"/>
          <w:szCs w:val="18"/>
        </w:rPr>
        <w:t>，在开工后继续负责解决以上事项遗留问题；</w:t>
      </w:r>
    </w:p>
    <w:p w14:paraId="77906DEB">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2）将施工所需水、电、电讯线路从施工场地外部接至《专用条款》约定地点，保证施工期间的需要；</w:t>
      </w:r>
    </w:p>
    <w:p w14:paraId="2E9AF7E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3）开通施工场地与城乡公共道路的通道</w:t>
      </w:r>
      <w:r>
        <w:rPr>
          <w:sz w:val="21"/>
          <w:szCs w:val="18"/>
        </w:rPr>
        <w:t>，以及施工场区内主干道</w:t>
      </w:r>
      <w:r>
        <w:rPr>
          <w:rFonts w:hint="default"/>
          <w:sz w:val="21"/>
          <w:szCs w:val="18"/>
        </w:rPr>
        <w:t>；</w:t>
      </w:r>
    </w:p>
    <w:p w14:paraId="4D4C5F6F">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4）确定水准点与座标控制点，以书面形式交给乙方，进行现场交验；</w:t>
      </w:r>
    </w:p>
    <w:p w14:paraId="23D0038F">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5）组织乙方和设计单位进行图纸会审和设计交底；</w:t>
      </w:r>
    </w:p>
    <w:p w14:paraId="198E547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6）协助乙方处理施工场地周围地下管线和邻近建筑物、构筑物的保护工作；但文物性保护工作由甲方负责处理</w:t>
      </w:r>
      <w:r>
        <w:rPr>
          <w:sz w:val="21"/>
          <w:szCs w:val="18"/>
        </w:rPr>
        <w:t>并承担有关费用</w:t>
      </w:r>
      <w:r>
        <w:rPr>
          <w:rFonts w:hint="default"/>
          <w:sz w:val="21"/>
          <w:szCs w:val="18"/>
        </w:rPr>
        <w:t xml:space="preserve">； </w:t>
      </w:r>
    </w:p>
    <w:p w14:paraId="37F9F3A3">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7）甲方应做的其他工作，双方在《专用条款》内约定。 </w:t>
      </w:r>
    </w:p>
    <w:p w14:paraId="69DE958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8.2甲方未能履行8.1款各项义务，导致工期延误，合同工期可顺延。 </w:t>
      </w:r>
    </w:p>
    <w:p w14:paraId="799DFBB1">
      <w:pPr>
        <w:pStyle w:val="101"/>
        <w:rPr>
          <w:b w:val="0"/>
          <w:bCs w:val="0"/>
          <w:sz w:val="21"/>
          <w:szCs w:val="18"/>
        </w:rPr>
      </w:pPr>
      <w:bookmarkStart w:id="108" w:name="_Toc5971550"/>
      <w:bookmarkStart w:id="109" w:name="_Toc534294297"/>
      <w:bookmarkStart w:id="110" w:name="_Toc534298599"/>
      <w:bookmarkStart w:id="111" w:name="_Toc534295035"/>
      <w:bookmarkStart w:id="112" w:name="_Toc534298835"/>
      <w:bookmarkStart w:id="113" w:name="_Toc534294920"/>
      <w:bookmarkStart w:id="114" w:name="_Toc152766683"/>
      <w:bookmarkStart w:id="115" w:name="_Toc534294769"/>
      <w:r>
        <w:t>9、乙方工作</w:t>
      </w:r>
      <w:bookmarkEnd w:id="108"/>
      <w:bookmarkEnd w:id="109"/>
      <w:bookmarkEnd w:id="110"/>
      <w:bookmarkEnd w:id="111"/>
      <w:bookmarkEnd w:id="112"/>
      <w:bookmarkEnd w:id="113"/>
      <w:bookmarkEnd w:id="114"/>
      <w:bookmarkEnd w:id="115"/>
      <w:r>
        <w:rPr>
          <w:b w:val="0"/>
          <w:bCs w:val="0"/>
          <w:sz w:val="21"/>
          <w:szCs w:val="18"/>
        </w:rPr>
        <w:t xml:space="preserve"> </w:t>
      </w:r>
    </w:p>
    <w:p w14:paraId="71A7BE3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9.1乙方按《专用条款》约定的内容和时间完成以下工作： </w:t>
      </w:r>
    </w:p>
    <w:p w14:paraId="2028F2A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1）在合同工期内，保质、保量的完成合同工程的施工，并向甲方提供年、季、月度工程进度计划及相应进度统计报表； </w:t>
      </w:r>
    </w:p>
    <w:p w14:paraId="62220F3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2）开工前乙方应精心组织施工人员、施工机具进场，并作好科学的安排； </w:t>
      </w:r>
    </w:p>
    <w:p w14:paraId="2669EABF">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3）开工前乙方根据工程需要在甲方指定的区域搭建临时设施； </w:t>
      </w:r>
    </w:p>
    <w:p w14:paraId="7042D8A4">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4）已竣工工程未交付甲方之前，乙方按《专用条款》约定负责已完工程的保护工作，保护期间发生损坏，乙方自费予以修复； </w:t>
      </w:r>
    </w:p>
    <w:p w14:paraId="424B5CC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5）在甲方的协助下做好施工场地地下管线和邻近建筑物、构筑物的保护工作； </w:t>
      </w:r>
    </w:p>
    <w:p w14:paraId="0B795B2E">
      <w:pPr>
        <w:pStyle w:val="20"/>
        <w:adjustRightInd w:val="0"/>
        <w:snapToGrid w:val="0"/>
        <w:spacing w:before="0" w:beforeAutospacing="0" w:after="0" w:afterAutospacing="0"/>
        <w:ind w:firstLine="420"/>
        <w:rPr>
          <w:rFonts w:hint="default"/>
          <w:sz w:val="21"/>
          <w:szCs w:val="18"/>
        </w:rPr>
      </w:pPr>
      <w:r>
        <w:rPr>
          <w:sz w:val="21"/>
          <w:szCs w:val="18"/>
        </w:rPr>
        <w:t>（</w:t>
      </w:r>
      <w:r>
        <w:rPr>
          <w:rFonts w:hint="default"/>
          <w:sz w:val="21"/>
          <w:szCs w:val="18"/>
        </w:rPr>
        <w:t>6）遵守政府有关主管部门对施工场地交通、施工噪音以及环境保护和安全生产的管理规定，按规定办理有关手续，并以书面形式通知甲方。</w:t>
      </w:r>
    </w:p>
    <w:p w14:paraId="52D4A15B">
      <w:pPr>
        <w:pStyle w:val="20"/>
        <w:adjustRightInd w:val="0"/>
        <w:snapToGrid w:val="0"/>
        <w:spacing w:before="0" w:beforeAutospacing="0" w:after="0" w:afterAutospacing="0"/>
        <w:ind w:firstLine="420"/>
        <w:rPr>
          <w:rFonts w:hint="default"/>
          <w:sz w:val="21"/>
          <w:szCs w:val="18"/>
        </w:rPr>
      </w:pPr>
      <w:r>
        <w:rPr>
          <w:rFonts w:hint="default"/>
          <w:sz w:val="21"/>
          <w:szCs w:val="18"/>
        </w:rPr>
        <w:t>（7）乙方负责修建</w:t>
      </w:r>
      <w:r>
        <w:rPr>
          <w:sz w:val="21"/>
          <w:szCs w:val="18"/>
        </w:rPr>
        <w:t>施工场区主干道以外的</w:t>
      </w:r>
      <w:r>
        <w:rPr>
          <w:rFonts w:hint="default"/>
          <w:sz w:val="21"/>
          <w:szCs w:val="18"/>
        </w:rPr>
        <w:t>施工便道、临时通行便道（含临时行车道）及施工辅助设施，并在施工完成后拆除和还原。</w:t>
      </w:r>
    </w:p>
    <w:p w14:paraId="47E9412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8）乙方应做的其他工作，双方在《专用条款》内约定。 </w:t>
      </w:r>
    </w:p>
    <w:p w14:paraId="0C502F24">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9.2乙方未能履行9.1款各项义务，造成甲方损失的，乙方赔偿甲方有关损失。 </w:t>
      </w:r>
    </w:p>
    <w:p w14:paraId="62BA5A32">
      <w:pPr>
        <w:pStyle w:val="2"/>
        <w:spacing w:before="60" w:after="60"/>
        <w:jc w:val="left"/>
        <w:rPr>
          <w:sz w:val="28"/>
          <w:szCs w:val="28"/>
        </w:rPr>
      </w:pPr>
      <w:bookmarkStart w:id="116" w:name="_Toc534294921"/>
      <w:bookmarkStart w:id="117" w:name="_Toc152766684"/>
      <w:bookmarkStart w:id="118" w:name="_Toc534295036"/>
      <w:bookmarkStart w:id="119" w:name="_Toc534294298"/>
      <w:bookmarkStart w:id="120" w:name="_Toc534298836"/>
      <w:bookmarkStart w:id="121" w:name="_Toc534294770"/>
      <w:bookmarkStart w:id="122" w:name="_Toc534298600"/>
      <w:r>
        <w:rPr>
          <w:sz w:val="28"/>
          <w:szCs w:val="28"/>
        </w:rPr>
        <w:t>三、施工进度和工期</w:t>
      </w:r>
      <w:bookmarkEnd w:id="116"/>
      <w:bookmarkEnd w:id="117"/>
      <w:bookmarkEnd w:id="118"/>
      <w:bookmarkEnd w:id="119"/>
      <w:bookmarkEnd w:id="120"/>
      <w:bookmarkEnd w:id="121"/>
      <w:bookmarkEnd w:id="122"/>
      <w:r>
        <w:rPr>
          <w:sz w:val="28"/>
          <w:szCs w:val="28"/>
        </w:rPr>
        <w:t xml:space="preserve"> </w:t>
      </w:r>
    </w:p>
    <w:p w14:paraId="6B966F68">
      <w:pPr>
        <w:pStyle w:val="101"/>
        <w:rPr>
          <w:b w:val="0"/>
          <w:bCs w:val="0"/>
          <w:sz w:val="21"/>
          <w:szCs w:val="18"/>
        </w:rPr>
      </w:pPr>
      <w:bookmarkStart w:id="123" w:name="_Toc534295037"/>
      <w:bookmarkStart w:id="124" w:name="_Toc534298837"/>
      <w:bookmarkStart w:id="125" w:name="_Toc534294922"/>
      <w:bookmarkStart w:id="126" w:name="_Toc534298601"/>
      <w:bookmarkStart w:id="127" w:name="_Toc152766685"/>
      <w:bookmarkStart w:id="128" w:name="_Toc534294771"/>
      <w:bookmarkStart w:id="129" w:name="_Toc5971552"/>
      <w:bookmarkStart w:id="130" w:name="_Toc534294299"/>
      <w:r>
        <w:t>10、进度计划</w:t>
      </w:r>
      <w:bookmarkEnd w:id="123"/>
      <w:bookmarkEnd w:id="124"/>
      <w:bookmarkEnd w:id="125"/>
      <w:bookmarkEnd w:id="126"/>
      <w:bookmarkEnd w:id="127"/>
      <w:bookmarkEnd w:id="128"/>
      <w:bookmarkEnd w:id="129"/>
      <w:bookmarkEnd w:id="130"/>
      <w:r>
        <w:rPr>
          <w:b w:val="0"/>
          <w:bCs w:val="0"/>
          <w:sz w:val="21"/>
          <w:szCs w:val="18"/>
        </w:rPr>
        <w:t xml:space="preserve"> </w:t>
      </w:r>
    </w:p>
    <w:p w14:paraId="3F0D716A">
      <w:pPr>
        <w:pStyle w:val="20"/>
        <w:adjustRightInd w:val="0"/>
        <w:snapToGrid w:val="0"/>
        <w:spacing w:before="0" w:beforeAutospacing="0" w:after="0" w:afterAutospacing="0"/>
        <w:ind w:firstLine="480"/>
        <w:rPr>
          <w:rFonts w:hint="default"/>
          <w:sz w:val="21"/>
          <w:szCs w:val="18"/>
        </w:rPr>
      </w:pPr>
      <w:r>
        <w:rPr>
          <w:sz w:val="21"/>
          <w:szCs w:val="18"/>
        </w:rPr>
        <w:t>乙方必须按本合同《专用条款》要求的时间内向甲方提出施工组织设计，乙方的施工组织设计一经甲方确认，则可作为甲方和监理单位进行进度的检查、监督的依据。因乙方的原因导致实际进度与进度计划不符，乙方应无条件的提出改进措施。工程实际进度与经确认的进度计划不符时，甲方和监理单位有权提出改进要求或建议。</w:t>
      </w:r>
    </w:p>
    <w:p w14:paraId="596B8837">
      <w:pPr>
        <w:pStyle w:val="20"/>
        <w:adjustRightInd w:val="0"/>
        <w:snapToGrid w:val="0"/>
        <w:spacing w:before="0" w:beforeAutospacing="0" w:after="0" w:afterAutospacing="0"/>
        <w:rPr>
          <w:rFonts w:hint="default"/>
          <w:sz w:val="21"/>
          <w:szCs w:val="18"/>
        </w:rPr>
      </w:pPr>
      <w:r>
        <w:rPr>
          <w:rFonts w:ascii="黑体" w:hAnsi="黑体" w:eastAsia="黑体"/>
          <w:b/>
          <w:bCs/>
          <w:kern w:val="28"/>
        </w:rPr>
        <w:t>11、开工及延期开工</w:t>
      </w:r>
      <w:r>
        <w:rPr>
          <w:rFonts w:hint="default"/>
          <w:sz w:val="21"/>
          <w:szCs w:val="18"/>
        </w:rPr>
        <w:br w:type="textWrapping"/>
      </w:r>
      <w:r>
        <w:rPr>
          <w:rFonts w:hint="default"/>
          <w:sz w:val="21"/>
          <w:szCs w:val="18"/>
        </w:rPr>
        <w:t>　　11.1乙方应当按照协议书约定的开工日期开工。乙方不能按时开工，应当不迟于协议书约定的开工日期前7天，以书面形式向甲方提出延期开工的理由和要求。甲方应当在接到延期开工申请后48小时内以书面形式答复乙方</w:t>
      </w:r>
      <w:r>
        <w:rPr>
          <w:sz w:val="21"/>
          <w:szCs w:val="18"/>
        </w:rPr>
        <w:t>，48小时以内不答复乙方，视为同意乙方要求，工期相应顺延</w:t>
      </w:r>
      <w:r>
        <w:rPr>
          <w:rFonts w:hint="default"/>
          <w:sz w:val="21"/>
          <w:szCs w:val="18"/>
        </w:rPr>
        <w:t>。由于乙方的原因合同工程不能如期开工，工程竣工日期不能顺延。</w:t>
      </w:r>
    </w:p>
    <w:p w14:paraId="69FAF887">
      <w:pPr>
        <w:pStyle w:val="20"/>
        <w:adjustRightInd w:val="0"/>
        <w:snapToGrid w:val="0"/>
        <w:spacing w:before="0" w:beforeAutospacing="0" w:after="0" w:afterAutospacing="0"/>
        <w:ind w:firstLine="480"/>
        <w:rPr>
          <w:rFonts w:hint="default"/>
          <w:sz w:val="21"/>
          <w:szCs w:val="18"/>
        </w:rPr>
      </w:pPr>
      <w:r>
        <w:rPr>
          <w:rFonts w:hint="default"/>
          <w:sz w:val="21"/>
          <w:szCs w:val="18"/>
        </w:rPr>
        <w:t>11.2因甲方原因不能按照协议书约定的开工日期开工，甲方应以书面形式通知乙方，推迟开工日期，工程竣工日期顺延。</w:t>
      </w:r>
    </w:p>
    <w:p w14:paraId="394EE29E">
      <w:pPr>
        <w:pStyle w:val="101"/>
        <w:rPr>
          <w:b w:val="0"/>
          <w:bCs w:val="0"/>
          <w:sz w:val="21"/>
          <w:szCs w:val="18"/>
        </w:rPr>
      </w:pPr>
      <w:bookmarkStart w:id="131" w:name="_Toc534295038"/>
      <w:bookmarkStart w:id="132" w:name="_Toc152766686"/>
      <w:bookmarkStart w:id="133" w:name="_Toc5971553"/>
      <w:bookmarkStart w:id="134" w:name="_Toc534294772"/>
      <w:bookmarkStart w:id="135" w:name="_Toc534294300"/>
      <w:bookmarkStart w:id="136" w:name="_Toc534294923"/>
      <w:bookmarkStart w:id="137" w:name="_Toc534298838"/>
      <w:bookmarkStart w:id="138" w:name="_Toc534298602"/>
      <w:r>
        <w:t>12、工期延误</w:t>
      </w:r>
      <w:bookmarkEnd w:id="131"/>
      <w:bookmarkEnd w:id="132"/>
      <w:bookmarkEnd w:id="133"/>
      <w:bookmarkEnd w:id="134"/>
      <w:bookmarkEnd w:id="135"/>
      <w:bookmarkEnd w:id="136"/>
      <w:bookmarkEnd w:id="137"/>
      <w:bookmarkEnd w:id="138"/>
      <w:r>
        <w:t xml:space="preserve"> </w:t>
      </w:r>
    </w:p>
    <w:p w14:paraId="55F26A4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12.1因以下原因造成工期延误，经甲方代表和监理工程师签证认可后为正常工期延误，合同工期相应顺延： </w:t>
      </w:r>
    </w:p>
    <w:p w14:paraId="6AA9674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1）甲方未能按《专用条款》的约定提供图纸及开工条件； </w:t>
      </w:r>
    </w:p>
    <w:p w14:paraId="4034E93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2）甲方和监理单位未按合同约定提供所需指令、批准等，致使施工不能正常进行； </w:t>
      </w:r>
    </w:p>
    <w:p w14:paraId="5ED97B55">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3）设计变更和工程量增加； </w:t>
      </w:r>
    </w:p>
    <w:p w14:paraId="594F542B">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4）非乙方原因停水、停电连续8小时以上使施工不能正常进行；  </w:t>
      </w:r>
    </w:p>
    <w:p w14:paraId="2F96A098">
      <w:pPr>
        <w:pStyle w:val="20"/>
        <w:adjustRightInd w:val="0"/>
        <w:snapToGrid w:val="0"/>
        <w:spacing w:before="0" w:beforeAutospacing="0" w:after="0" w:afterAutospacing="0"/>
        <w:ind w:firstLine="480"/>
        <w:rPr>
          <w:rFonts w:hint="default"/>
          <w:sz w:val="21"/>
          <w:szCs w:val="18"/>
        </w:rPr>
      </w:pPr>
      <w:r>
        <w:rPr>
          <w:rFonts w:hint="default"/>
          <w:sz w:val="21"/>
          <w:szCs w:val="18"/>
        </w:rPr>
        <w:t>12.2乙方在12.1款情况发生后</w:t>
      </w:r>
      <w:r>
        <w:rPr>
          <w:sz w:val="21"/>
          <w:szCs w:val="18"/>
        </w:rPr>
        <w:t>7</w:t>
      </w:r>
      <w:r>
        <w:rPr>
          <w:rFonts w:hint="default"/>
          <w:sz w:val="21"/>
          <w:szCs w:val="18"/>
        </w:rPr>
        <w:t>天内，就延误的工期以书面形式向甲方和监理单位提出报告。甲方和监理单位在收到报告后</w:t>
      </w:r>
      <w:r>
        <w:rPr>
          <w:sz w:val="21"/>
          <w:szCs w:val="18"/>
        </w:rPr>
        <w:t>7</w:t>
      </w:r>
      <w:r>
        <w:rPr>
          <w:rFonts w:hint="default"/>
          <w:sz w:val="21"/>
          <w:szCs w:val="18"/>
        </w:rPr>
        <w:t>天内予以确认。</w:t>
      </w:r>
    </w:p>
    <w:p w14:paraId="33F51E8A">
      <w:pPr>
        <w:pStyle w:val="20"/>
        <w:adjustRightInd w:val="0"/>
        <w:snapToGrid w:val="0"/>
        <w:spacing w:before="0" w:beforeAutospacing="0" w:after="0" w:afterAutospacing="0"/>
        <w:ind w:firstLine="420"/>
        <w:rPr>
          <w:rFonts w:hint="default"/>
          <w:sz w:val="21"/>
          <w:szCs w:val="18"/>
        </w:rPr>
      </w:pPr>
      <w:r>
        <w:rPr>
          <w:rFonts w:hint="default"/>
          <w:sz w:val="21"/>
          <w:szCs w:val="18"/>
        </w:rPr>
        <w:t>12.3 因乙方原因造成合同工程的工期延误，乙方对其合同工期延误向甲方</w:t>
      </w:r>
      <w:r>
        <w:rPr>
          <w:sz w:val="21"/>
          <w:szCs w:val="18"/>
        </w:rPr>
        <w:t>承担违约责任</w:t>
      </w:r>
      <w:r>
        <w:rPr>
          <w:rFonts w:hint="default"/>
          <w:sz w:val="21"/>
          <w:szCs w:val="18"/>
        </w:rPr>
        <w:t>，</w:t>
      </w:r>
      <w:r>
        <w:rPr>
          <w:sz w:val="21"/>
          <w:szCs w:val="18"/>
        </w:rPr>
        <w:t>具体</w:t>
      </w:r>
      <w:r>
        <w:rPr>
          <w:rFonts w:hint="default"/>
          <w:sz w:val="21"/>
          <w:szCs w:val="18"/>
        </w:rPr>
        <w:t>根据本合同的《专用条款》进行。</w:t>
      </w:r>
      <w:r>
        <w:rPr>
          <w:sz w:val="21"/>
          <w:szCs w:val="18"/>
        </w:rPr>
        <w:t>若施工期间由于乙方自身原因导致无法按工期保质保量完成合同工程内容，甲方有权立即终止合同并且由乙方自行承担所有损失责任。</w:t>
      </w:r>
    </w:p>
    <w:p w14:paraId="040F409A">
      <w:pPr>
        <w:pStyle w:val="20"/>
        <w:adjustRightInd w:val="0"/>
        <w:snapToGrid w:val="0"/>
        <w:spacing w:before="0" w:beforeAutospacing="0" w:after="0" w:afterAutospacing="0"/>
        <w:ind w:firstLine="420"/>
        <w:rPr>
          <w:rFonts w:hint="default"/>
          <w:sz w:val="21"/>
          <w:szCs w:val="18"/>
        </w:rPr>
      </w:pPr>
      <w:r>
        <w:rPr>
          <w:sz w:val="21"/>
          <w:szCs w:val="18"/>
        </w:rPr>
        <w:t>本工程因乙方原因延误工期，乙方每延误一天按子项合同价的1.5‰向甲方支付违约金，累计不超过本合同总价的3%。</w:t>
      </w:r>
    </w:p>
    <w:p w14:paraId="2916FF1F">
      <w:pPr>
        <w:pStyle w:val="101"/>
        <w:rPr>
          <w:b w:val="0"/>
          <w:bCs w:val="0"/>
          <w:sz w:val="21"/>
          <w:szCs w:val="18"/>
        </w:rPr>
      </w:pPr>
      <w:bookmarkStart w:id="139" w:name="_Toc534298839"/>
      <w:bookmarkStart w:id="140" w:name="_Toc786632"/>
      <w:bookmarkStart w:id="141" w:name="_Toc534294773"/>
      <w:bookmarkStart w:id="142" w:name="_Toc534294924"/>
      <w:bookmarkStart w:id="143" w:name="_Toc534294301"/>
      <w:bookmarkStart w:id="144" w:name="_Toc535683428"/>
      <w:bookmarkStart w:id="145" w:name="_Toc534298603"/>
      <w:bookmarkStart w:id="146" w:name="_Toc535764238"/>
      <w:bookmarkStart w:id="147" w:name="_Toc5971554"/>
      <w:bookmarkStart w:id="148" w:name="_Toc152766687"/>
      <w:bookmarkStart w:id="149" w:name="_Toc534295039"/>
      <w:r>
        <w:t>13、工程竣工</w:t>
      </w:r>
      <w:bookmarkEnd w:id="139"/>
      <w:bookmarkEnd w:id="140"/>
      <w:bookmarkEnd w:id="141"/>
      <w:bookmarkEnd w:id="142"/>
      <w:bookmarkEnd w:id="143"/>
      <w:bookmarkEnd w:id="144"/>
      <w:bookmarkEnd w:id="145"/>
      <w:bookmarkEnd w:id="146"/>
      <w:bookmarkEnd w:id="147"/>
      <w:bookmarkEnd w:id="148"/>
      <w:bookmarkEnd w:id="149"/>
      <w:r>
        <w:rPr>
          <w:b w:val="0"/>
          <w:bCs w:val="0"/>
          <w:sz w:val="21"/>
          <w:szCs w:val="18"/>
        </w:rPr>
        <w:t xml:space="preserve"> </w:t>
      </w:r>
    </w:p>
    <w:p w14:paraId="25DF98D4">
      <w:pPr>
        <w:pStyle w:val="20"/>
        <w:adjustRightInd w:val="0"/>
        <w:snapToGrid w:val="0"/>
        <w:spacing w:before="0" w:beforeAutospacing="0" w:after="0" w:afterAutospacing="0"/>
        <w:ind w:firstLine="210" w:firstLineChars="100"/>
        <w:rPr>
          <w:rFonts w:hint="default"/>
          <w:sz w:val="21"/>
          <w:szCs w:val="18"/>
        </w:rPr>
      </w:pPr>
      <w:r>
        <w:rPr>
          <w:sz w:val="21"/>
          <w:szCs w:val="18"/>
        </w:rPr>
        <w:t>　</w:t>
      </w:r>
      <w:r>
        <w:rPr>
          <w:rFonts w:hint="default"/>
          <w:sz w:val="21"/>
          <w:szCs w:val="18"/>
        </w:rPr>
        <w:t xml:space="preserve">13.1乙方必须按照协议书约定的竣工日期或甲方及监理单位同意顺延的工期进行工程的竣工。 </w:t>
      </w:r>
    </w:p>
    <w:p w14:paraId="4A126295">
      <w:pPr>
        <w:pStyle w:val="20"/>
        <w:adjustRightInd w:val="0"/>
        <w:snapToGrid w:val="0"/>
        <w:spacing w:before="0" w:beforeAutospacing="0" w:after="0" w:afterAutospacing="0"/>
        <w:ind w:firstLine="420"/>
        <w:rPr>
          <w:rFonts w:hint="default"/>
          <w:sz w:val="21"/>
          <w:szCs w:val="18"/>
        </w:rPr>
      </w:pPr>
      <w:r>
        <w:rPr>
          <w:rFonts w:hint="default"/>
          <w:sz w:val="21"/>
          <w:szCs w:val="18"/>
        </w:rPr>
        <w:t>13.2因乙方原因不能按照协议书约定的竣工日期或甲方及监理单位同意顺延的工期竣工的，乙方根据本合同《专用条款》的相关规定对甲方承担违约责任。</w:t>
      </w:r>
    </w:p>
    <w:p w14:paraId="5E493F25">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13.3 乙方工程竣工的前提条件是乙方完成合同工程的所有施工内容，工程质量合格。 </w:t>
      </w:r>
    </w:p>
    <w:p w14:paraId="105218C4">
      <w:pPr>
        <w:pStyle w:val="2"/>
        <w:spacing w:before="60" w:after="60"/>
        <w:jc w:val="left"/>
        <w:rPr>
          <w:sz w:val="28"/>
          <w:szCs w:val="28"/>
        </w:rPr>
      </w:pPr>
      <w:bookmarkStart w:id="150" w:name="_Toc534298840"/>
      <w:bookmarkStart w:id="151" w:name="_Toc534295040"/>
      <w:bookmarkStart w:id="152" w:name="_Toc534298604"/>
      <w:bookmarkStart w:id="153" w:name="_Toc534294302"/>
      <w:bookmarkStart w:id="154" w:name="_Toc534294925"/>
      <w:bookmarkStart w:id="155" w:name="_Toc534294774"/>
      <w:bookmarkStart w:id="156" w:name="_Toc152766688"/>
      <w:r>
        <w:rPr>
          <w:sz w:val="28"/>
          <w:szCs w:val="28"/>
        </w:rPr>
        <w:t>四、质量与检验</w:t>
      </w:r>
      <w:bookmarkEnd w:id="150"/>
      <w:bookmarkEnd w:id="151"/>
      <w:bookmarkEnd w:id="152"/>
      <w:bookmarkEnd w:id="153"/>
      <w:bookmarkEnd w:id="154"/>
      <w:bookmarkEnd w:id="155"/>
      <w:bookmarkEnd w:id="156"/>
      <w:r>
        <w:rPr>
          <w:sz w:val="28"/>
          <w:szCs w:val="28"/>
        </w:rPr>
        <w:t xml:space="preserve"> </w:t>
      </w:r>
    </w:p>
    <w:p w14:paraId="4809E8C7">
      <w:pPr>
        <w:pStyle w:val="101"/>
        <w:rPr>
          <w:b w:val="0"/>
          <w:bCs w:val="0"/>
          <w:sz w:val="21"/>
          <w:szCs w:val="18"/>
        </w:rPr>
      </w:pPr>
      <w:bookmarkStart w:id="157" w:name="_Toc534298605"/>
      <w:bookmarkStart w:id="158" w:name="_Toc534295041"/>
      <w:bookmarkStart w:id="159" w:name="_Toc534298841"/>
      <w:bookmarkStart w:id="160" w:name="_Toc534294926"/>
      <w:bookmarkStart w:id="161" w:name="_Toc534294303"/>
      <w:bookmarkStart w:id="162" w:name="_Toc152766689"/>
      <w:bookmarkStart w:id="163" w:name="_Toc534294775"/>
      <w:bookmarkStart w:id="164" w:name="_Toc5971556"/>
      <w:r>
        <w:t>14、工程质量</w:t>
      </w:r>
      <w:bookmarkEnd w:id="157"/>
      <w:bookmarkEnd w:id="158"/>
      <w:bookmarkEnd w:id="159"/>
      <w:bookmarkEnd w:id="160"/>
      <w:bookmarkEnd w:id="161"/>
      <w:bookmarkEnd w:id="162"/>
      <w:bookmarkEnd w:id="163"/>
      <w:bookmarkEnd w:id="164"/>
      <w:r>
        <w:rPr>
          <w:b w:val="0"/>
          <w:bCs w:val="0"/>
          <w:sz w:val="21"/>
          <w:szCs w:val="18"/>
        </w:rPr>
        <w:t xml:space="preserve"> </w:t>
      </w:r>
    </w:p>
    <w:p w14:paraId="32487657">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14.1工程质量应当达到协议书约定的质量标准，质量标准的评定以国家或行业的质量检验评定标准为依据。因乙方原因工程质量达不到约定的质量标准，乙方承担违约责任。 </w:t>
      </w:r>
    </w:p>
    <w:p w14:paraId="430B55DD">
      <w:pPr>
        <w:pStyle w:val="20"/>
        <w:adjustRightInd w:val="0"/>
        <w:snapToGrid w:val="0"/>
        <w:spacing w:before="0" w:beforeAutospacing="0" w:after="0" w:afterAutospacing="0"/>
        <w:ind w:firstLine="480"/>
        <w:rPr>
          <w:rFonts w:hint="default"/>
          <w:sz w:val="21"/>
          <w:szCs w:val="18"/>
        </w:rPr>
      </w:pPr>
      <w:r>
        <w:rPr>
          <w:rFonts w:hint="default"/>
          <w:sz w:val="21"/>
          <w:szCs w:val="18"/>
        </w:rPr>
        <w:t>14.2双方对工程质量有争议，由双方同意的工程质量检测机构鉴定，所需费用及因此造成的损失，由责任方承担。</w:t>
      </w:r>
    </w:p>
    <w:p w14:paraId="658F8CB4">
      <w:pPr>
        <w:pStyle w:val="101"/>
        <w:rPr>
          <w:b w:val="0"/>
          <w:bCs w:val="0"/>
          <w:sz w:val="21"/>
          <w:szCs w:val="18"/>
        </w:rPr>
      </w:pPr>
      <w:bookmarkStart w:id="165" w:name="_Toc534298606"/>
      <w:bookmarkStart w:id="166" w:name="_Toc5971557"/>
      <w:bookmarkStart w:id="167" w:name="_Toc152766690"/>
      <w:bookmarkStart w:id="168" w:name="_Toc534294776"/>
      <w:bookmarkStart w:id="169" w:name="_Toc534295042"/>
      <w:bookmarkStart w:id="170" w:name="_Toc534298842"/>
      <w:bookmarkStart w:id="171" w:name="_Toc534294304"/>
      <w:bookmarkStart w:id="172" w:name="_Toc534294927"/>
      <w:r>
        <w:t>15、检查和返工</w:t>
      </w:r>
      <w:bookmarkEnd w:id="165"/>
      <w:bookmarkEnd w:id="166"/>
      <w:bookmarkEnd w:id="167"/>
      <w:bookmarkEnd w:id="168"/>
      <w:bookmarkEnd w:id="169"/>
      <w:bookmarkEnd w:id="170"/>
      <w:bookmarkEnd w:id="171"/>
      <w:bookmarkEnd w:id="172"/>
      <w:r>
        <w:rPr>
          <w:b w:val="0"/>
          <w:bCs w:val="0"/>
          <w:sz w:val="21"/>
          <w:szCs w:val="18"/>
        </w:rPr>
        <w:t xml:space="preserve"> </w:t>
      </w:r>
    </w:p>
    <w:p w14:paraId="1286138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15.1乙方应认真按照标准、规范和设计图纸要求以及甲方或监理单位依据合同发出的指令施工，随时接受甲方或监理单位的检查检验，为检查检验提供便利条件。 </w:t>
      </w:r>
    </w:p>
    <w:p w14:paraId="38B61AB0">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15.2工程质量达不到约定标准的部分，甲方或监理单位可要求拆除和重新施工，直到符合约定标准。因乙方原因达不到约定标准，由乙方承担拆除和重新施工的所有费用，工期不予顺延。 </w:t>
      </w:r>
    </w:p>
    <w:p w14:paraId="2D74167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15.3甲方或监理单位</w:t>
      </w:r>
      <w:r>
        <w:rPr>
          <w:sz w:val="21"/>
          <w:szCs w:val="18"/>
        </w:rPr>
        <w:t>检查不应影响施工的正常进行，如影响正常施工，检查不合格时，影响正常施工增加的费用由乙方承担，检查合格时，影响正常施工增加的费用由甲方承担，且延误的工期相应顺延。</w:t>
      </w:r>
    </w:p>
    <w:p w14:paraId="45BB8189">
      <w:pPr>
        <w:pStyle w:val="101"/>
      </w:pPr>
      <w:bookmarkStart w:id="173" w:name="_Toc534294777"/>
      <w:bookmarkStart w:id="174" w:name="_Toc534294305"/>
      <w:bookmarkStart w:id="175" w:name="_Toc152766691"/>
      <w:bookmarkStart w:id="176" w:name="_Toc5971558"/>
      <w:bookmarkStart w:id="177" w:name="_Toc534298607"/>
      <w:bookmarkStart w:id="178" w:name="_Toc534295043"/>
      <w:bookmarkStart w:id="179" w:name="_Toc534298843"/>
      <w:bookmarkStart w:id="180" w:name="_Toc534294928"/>
      <w:r>
        <w:t>16、隐蔽工程和中间验收</w:t>
      </w:r>
      <w:bookmarkEnd w:id="173"/>
      <w:bookmarkEnd w:id="174"/>
      <w:bookmarkEnd w:id="175"/>
      <w:bookmarkEnd w:id="176"/>
      <w:bookmarkEnd w:id="177"/>
      <w:bookmarkEnd w:id="178"/>
      <w:bookmarkEnd w:id="179"/>
      <w:bookmarkEnd w:id="180"/>
      <w:r>
        <w:t xml:space="preserve"> </w:t>
      </w:r>
    </w:p>
    <w:p w14:paraId="00107375">
      <w:pPr>
        <w:pStyle w:val="20"/>
        <w:adjustRightInd w:val="0"/>
        <w:snapToGrid w:val="0"/>
        <w:spacing w:before="0" w:beforeAutospacing="0" w:after="0" w:afterAutospacing="0"/>
        <w:rPr>
          <w:rFonts w:hint="default"/>
          <w:sz w:val="21"/>
          <w:szCs w:val="18"/>
        </w:rPr>
      </w:pPr>
      <w:r>
        <w:rPr>
          <w:rFonts w:hint="default"/>
        </w:rPr>
        <mc:AlternateContent>
          <mc:Choice Requires="wps">
            <w:drawing>
              <wp:anchor distT="0" distB="0" distL="114300" distR="114300" simplePos="0" relativeHeight="251659264" behindDoc="0" locked="0" layoutInCell="1" allowOverlap="1">
                <wp:simplePos x="0" y="0"/>
                <wp:positionH relativeFrom="column">
                  <wp:posOffset>2286000</wp:posOffset>
                </wp:positionH>
                <wp:positionV relativeFrom="paragraph">
                  <wp:posOffset>203200</wp:posOffset>
                </wp:positionV>
                <wp:extent cx="0" cy="0"/>
                <wp:effectExtent l="7620" t="9525" r="11430" b="952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0pt;margin-top:16pt;height:0pt;width:0pt;z-index:251659264;mso-width-relative:page;mso-height-relative:page;" filled="f" stroked="t" coordsize="21600,21600" o:gfxdata="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H9CdnSAAAACQEAAA8AAAAAAAAAAQAg&#10;AAAAIgAAAGRycy9kb3ducmV2LnhtbFBLAQIUABQAAAAIAIdO4kDd4ZIl2wEAAKQDAAAOAAAAAAAA&#10;AAEAIAAAACEBAABkcnMvZTJvRG9jLnhtbFBLBQYAAAAABgAGAFkBAABuBQAAAAA=&#10;">
                <v:fill on="f" focussize="0,0"/>
                <v:stroke color="#000000" joinstyle="round"/>
                <v:imagedata o:title=""/>
                <o:lock v:ext="edit" aspectratio="f"/>
              </v:line>
            </w:pict>
          </mc:Fallback>
        </mc:AlternateContent>
      </w:r>
      <w:r>
        <w:rPr>
          <w:rFonts w:hint="default"/>
          <w:sz w:val="21"/>
          <w:szCs w:val="18"/>
        </w:rPr>
        <w:t xml:space="preserve">　　16.1工程具备隐蔽条件或达到《专用条款》约定的中间验收部位，乙方进行自检，并在隐蔽或中间验收前48小时以书面形式通知甲方和监理单位验收。通知包括隐蔽和中间验收的内容、验收时间和地点。乙方准备验收记录，验收合格，乙方代表、甲方代表和监理工程师在验收记录上签字后，乙方方可进行隐蔽和继续施工。验收不合格，乙方在甲方限定的时间内修改后重新验收。 </w:t>
      </w:r>
    </w:p>
    <w:p w14:paraId="771202D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16.2甲方代表和监理工程师不能按时进行验收，应在验收前24小时以书面形式向乙方提出延期要求，延期不能超过48小时。 </w:t>
      </w:r>
      <w:r>
        <w:rPr>
          <w:sz w:val="21"/>
          <w:szCs w:val="18"/>
        </w:rPr>
        <w:t>　</w:t>
      </w:r>
    </w:p>
    <w:p w14:paraId="56930B15">
      <w:pPr>
        <w:pStyle w:val="101"/>
        <w:rPr>
          <w:b w:val="0"/>
          <w:bCs w:val="0"/>
          <w:sz w:val="21"/>
          <w:szCs w:val="18"/>
        </w:rPr>
      </w:pPr>
      <w:bookmarkStart w:id="181" w:name="_Toc534295044"/>
      <w:bookmarkStart w:id="182" w:name="_Toc534294778"/>
      <w:bookmarkStart w:id="183" w:name="_Toc152766692"/>
      <w:bookmarkStart w:id="184" w:name="_Toc534294306"/>
      <w:bookmarkStart w:id="185" w:name="_Toc5971559"/>
      <w:bookmarkStart w:id="186" w:name="_Toc534294929"/>
      <w:bookmarkStart w:id="187" w:name="_Toc534298844"/>
      <w:bookmarkStart w:id="188" w:name="_Toc534298608"/>
      <w:r>
        <w:t>17、重新检验</w:t>
      </w:r>
      <w:bookmarkEnd w:id="181"/>
      <w:bookmarkEnd w:id="182"/>
      <w:bookmarkEnd w:id="183"/>
      <w:bookmarkEnd w:id="184"/>
      <w:bookmarkEnd w:id="185"/>
      <w:bookmarkEnd w:id="186"/>
      <w:bookmarkEnd w:id="187"/>
      <w:bookmarkEnd w:id="188"/>
      <w:r>
        <w:rPr>
          <w:b w:val="0"/>
          <w:bCs w:val="0"/>
          <w:sz w:val="21"/>
          <w:szCs w:val="18"/>
        </w:rPr>
        <w:t xml:space="preserve"> </w:t>
      </w:r>
    </w:p>
    <w:p w14:paraId="5251B587">
      <w:pPr>
        <w:pStyle w:val="20"/>
        <w:adjustRightInd w:val="0"/>
        <w:snapToGrid w:val="0"/>
        <w:spacing w:before="0" w:beforeAutospacing="0" w:after="0" w:afterAutospacing="0"/>
        <w:ind w:firstLine="480"/>
        <w:rPr>
          <w:rFonts w:hint="default"/>
          <w:sz w:val="21"/>
          <w:szCs w:val="18"/>
        </w:rPr>
      </w:pPr>
      <w:r>
        <w:rPr>
          <w:sz w:val="21"/>
          <w:szCs w:val="18"/>
        </w:rPr>
        <w:t>17.1无论甲方代表和监理工程师是否进行验收，当其要求对已经隐蔽的工程重新检验时，乙方应按要求进行剥离或开孔，并在检验后重新覆盖或修复。检验合格，甲方承担由此发生的全部工作费用，并相应顺延工期。检验不合格，乙方承担发生的全部费用，工期不予顺延。</w:t>
      </w:r>
      <w:r>
        <w:rPr>
          <w:rFonts w:hint="default"/>
          <w:sz w:val="21"/>
          <w:szCs w:val="18"/>
        </w:rPr>
        <w:t xml:space="preserve"> </w:t>
      </w:r>
    </w:p>
    <w:p w14:paraId="46A96E53">
      <w:pPr>
        <w:pStyle w:val="101"/>
      </w:pPr>
      <w:bookmarkStart w:id="189" w:name="_Toc534294307"/>
      <w:bookmarkStart w:id="190" w:name="_Toc534298609"/>
      <w:bookmarkStart w:id="191" w:name="_Toc534294930"/>
      <w:bookmarkStart w:id="192" w:name="_Toc534295045"/>
      <w:bookmarkStart w:id="193" w:name="_Toc5971560"/>
      <w:bookmarkStart w:id="194" w:name="_Toc534294779"/>
      <w:bookmarkStart w:id="195" w:name="_Toc152766693"/>
      <w:bookmarkStart w:id="196" w:name="_Toc534298845"/>
      <w:r>
        <w:t>18、质量事故</w:t>
      </w:r>
      <w:bookmarkEnd w:id="189"/>
      <w:bookmarkEnd w:id="190"/>
      <w:bookmarkEnd w:id="191"/>
      <w:bookmarkEnd w:id="192"/>
      <w:bookmarkEnd w:id="193"/>
      <w:bookmarkEnd w:id="194"/>
      <w:bookmarkEnd w:id="195"/>
      <w:bookmarkEnd w:id="196"/>
    </w:p>
    <w:p w14:paraId="70D364E4">
      <w:pPr>
        <w:pStyle w:val="20"/>
        <w:adjustRightInd w:val="0"/>
        <w:snapToGrid w:val="0"/>
        <w:spacing w:before="0" w:beforeAutospacing="0" w:after="0" w:afterAutospacing="0"/>
        <w:ind w:firstLine="480"/>
        <w:rPr>
          <w:rFonts w:hint="default"/>
          <w:sz w:val="21"/>
          <w:szCs w:val="18"/>
        </w:rPr>
      </w:pPr>
      <w:r>
        <w:rPr>
          <w:rFonts w:hint="default"/>
          <w:sz w:val="21"/>
          <w:szCs w:val="18"/>
        </w:rPr>
        <w:t>18.1 如果发生以下内容之一则认为乙方在施工过程中发生了质量事故：</w:t>
      </w:r>
    </w:p>
    <w:p w14:paraId="3FBD76E7">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乙方施工偏差超出了施工图纸所允许的范围；</w:t>
      </w:r>
    </w:p>
    <w:p w14:paraId="27FC53B5">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乙方使用了低于设计文件要求的材料（如果有变更确认文件则不包含在内）；</w:t>
      </w:r>
    </w:p>
    <w:p w14:paraId="10F7F778">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乙方使用了不合格的材料；</w:t>
      </w:r>
    </w:p>
    <w:p w14:paraId="68F84EF4">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乙方对甲方或监理单位或设计单位在合同工程按计划实施以前所签发的变更通知没有实施；</w:t>
      </w:r>
    </w:p>
    <w:p w14:paraId="622AEB7E">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乙方使用的施工材料量少于设计文件所要求的材料量（如果有变更确认文件则不包含在内）；</w:t>
      </w:r>
    </w:p>
    <w:p w14:paraId="51526326">
      <w:pPr>
        <w:pStyle w:val="20"/>
        <w:numPr>
          <w:ilvl w:val="0"/>
          <w:numId w:val="1"/>
        </w:numPr>
        <w:tabs>
          <w:tab w:val="left" w:pos="1004"/>
          <w:tab w:val="clear" w:pos="1200"/>
        </w:tabs>
        <w:adjustRightInd w:val="0"/>
        <w:snapToGrid w:val="0"/>
        <w:spacing w:before="0" w:beforeAutospacing="0" w:after="0" w:afterAutospacing="0"/>
        <w:ind w:left="1004"/>
        <w:rPr>
          <w:rFonts w:hint="default"/>
          <w:sz w:val="21"/>
          <w:szCs w:val="18"/>
        </w:rPr>
      </w:pPr>
      <w:r>
        <w:rPr>
          <w:sz w:val="21"/>
          <w:szCs w:val="18"/>
        </w:rPr>
        <w:t>由于乙方的原因，合同工程在施工过程中或质保期内出现质量问题；</w:t>
      </w:r>
    </w:p>
    <w:p w14:paraId="26C29534">
      <w:pPr>
        <w:pStyle w:val="20"/>
        <w:adjustRightInd w:val="0"/>
        <w:snapToGrid w:val="0"/>
        <w:spacing w:before="0" w:beforeAutospacing="0" w:after="0" w:afterAutospacing="0"/>
        <w:ind w:firstLine="480"/>
        <w:rPr>
          <w:rFonts w:hint="default"/>
          <w:sz w:val="21"/>
          <w:szCs w:val="18"/>
        </w:rPr>
      </w:pPr>
      <w:r>
        <w:rPr>
          <w:rFonts w:hint="default"/>
          <w:sz w:val="21"/>
          <w:szCs w:val="18"/>
        </w:rPr>
        <w:t>18.2  乙方的质量事故由甲方和监理单位共同认定，并向乙方出具《质量事故通知单》，乙方须在接到通知单后48小时内向甲方提出澄清或接受意见，超过48小时，将视为乙方已接受。乙方对工程质量事故的认定有异议，则可由双方同意的工程质量检测机构进行鉴定，所需的鉴定费用，由责任方承担。</w:t>
      </w:r>
    </w:p>
    <w:p w14:paraId="1ADB7BE4">
      <w:pPr>
        <w:pStyle w:val="20"/>
        <w:adjustRightInd w:val="0"/>
        <w:snapToGrid w:val="0"/>
        <w:spacing w:before="0" w:beforeAutospacing="0" w:after="0" w:afterAutospacing="0"/>
        <w:ind w:firstLine="480"/>
        <w:rPr>
          <w:rFonts w:hint="default"/>
          <w:sz w:val="21"/>
          <w:szCs w:val="18"/>
        </w:rPr>
      </w:pPr>
      <w:r>
        <w:rPr>
          <w:rFonts w:hint="default"/>
          <w:sz w:val="21"/>
          <w:szCs w:val="18"/>
        </w:rPr>
        <w:t>18.3  乙方应立即对质量事故采取有效措施进行纠正（修改或返工），所有的修改或返工费用由乙方承担。</w:t>
      </w:r>
    </w:p>
    <w:p w14:paraId="1BD661FD">
      <w:pPr>
        <w:pStyle w:val="20"/>
        <w:adjustRightInd w:val="0"/>
        <w:snapToGrid w:val="0"/>
        <w:spacing w:before="0" w:beforeAutospacing="0" w:after="0" w:afterAutospacing="0"/>
        <w:ind w:firstLine="480"/>
        <w:rPr>
          <w:rFonts w:hint="default"/>
          <w:sz w:val="21"/>
          <w:szCs w:val="18"/>
        </w:rPr>
      </w:pPr>
      <w:r>
        <w:rPr>
          <w:rFonts w:hint="default"/>
          <w:sz w:val="21"/>
          <w:szCs w:val="18"/>
        </w:rPr>
        <w:t>18.4  乙方对其质量事故</w:t>
      </w:r>
      <w:r>
        <w:rPr>
          <w:sz w:val="21"/>
          <w:szCs w:val="18"/>
        </w:rPr>
        <w:t>承担违约责任</w:t>
      </w:r>
      <w:r>
        <w:rPr>
          <w:rFonts w:hint="default"/>
          <w:sz w:val="21"/>
          <w:szCs w:val="18"/>
        </w:rPr>
        <w:t>，</w:t>
      </w:r>
      <w:r>
        <w:rPr>
          <w:sz w:val="21"/>
          <w:szCs w:val="18"/>
        </w:rPr>
        <w:t>具体</w:t>
      </w:r>
      <w:r>
        <w:rPr>
          <w:rFonts w:hint="default"/>
          <w:sz w:val="21"/>
          <w:szCs w:val="18"/>
        </w:rPr>
        <w:t>根据本合同的《专用条款》进行。</w:t>
      </w:r>
    </w:p>
    <w:p w14:paraId="411EEC6C">
      <w:pPr>
        <w:pStyle w:val="101"/>
        <w:rPr>
          <w:b w:val="0"/>
          <w:bCs w:val="0"/>
          <w:sz w:val="21"/>
          <w:szCs w:val="18"/>
        </w:rPr>
      </w:pPr>
      <w:bookmarkStart w:id="197" w:name="_Toc534295046"/>
      <w:bookmarkStart w:id="198" w:name="_Toc534294780"/>
      <w:bookmarkStart w:id="199" w:name="_Toc534298846"/>
      <w:bookmarkStart w:id="200" w:name="_Toc534294931"/>
      <w:bookmarkStart w:id="201" w:name="_Toc152766694"/>
      <w:bookmarkStart w:id="202" w:name="_Toc534294308"/>
      <w:bookmarkStart w:id="203" w:name="_Toc5971561"/>
      <w:bookmarkStart w:id="204" w:name="_Toc534298610"/>
      <w:r>
        <w:t>19、工程试车</w:t>
      </w:r>
      <w:bookmarkEnd w:id="197"/>
      <w:bookmarkEnd w:id="198"/>
      <w:bookmarkEnd w:id="199"/>
      <w:bookmarkEnd w:id="200"/>
      <w:bookmarkEnd w:id="201"/>
      <w:bookmarkEnd w:id="202"/>
      <w:bookmarkEnd w:id="203"/>
      <w:bookmarkEnd w:id="204"/>
      <w:r>
        <w:rPr>
          <w:b w:val="0"/>
          <w:bCs w:val="0"/>
          <w:sz w:val="21"/>
          <w:szCs w:val="18"/>
        </w:rPr>
        <w:t xml:space="preserve"> </w:t>
      </w:r>
    </w:p>
    <w:p w14:paraId="06C23322">
      <w:pPr>
        <w:pStyle w:val="20"/>
        <w:adjustRightInd w:val="0"/>
        <w:snapToGrid w:val="0"/>
        <w:spacing w:before="0" w:beforeAutospacing="0" w:after="0" w:afterAutospacing="0"/>
        <w:rPr>
          <w:rFonts w:hint="default"/>
          <w:sz w:val="21"/>
          <w:szCs w:val="18"/>
        </w:rPr>
      </w:pPr>
      <w:r>
        <w:rPr>
          <w:rFonts w:hint="default"/>
          <w:sz w:val="21"/>
          <w:szCs w:val="18"/>
        </w:rPr>
        <w:tab/>
      </w:r>
      <w:r>
        <w:rPr>
          <w:rFonts w:hint="default"/>
          <w:sz w:val="21"/>
          <w:szCs w:val="18"/>
        </w:rPr>
        <w:t>（本合同此条款无内容）</w:t>
      </w:r>
    </w:p>
    <w:p w14:paraId="0E6FBB77">
      <w:pPr>
        <w:pStyle w:val="2"/>
        <w:spacing w:before="60" w:after="60"/>
        <w:jc w:val="left"/>
        <w:rPr>
          <w:sz w:val="28"/>
          <w:szCs w:val="28"/>
        </w:rPr>
      </w:pPr>
      <w:bookmarkStart w:id="205" w:name="_Toc534294781"/>
      <w:bookmarkStart w:id="206" w:name="_Toc534298847"/>
      <w:bookmarkStart w:id="207" w:name="_Toc534294309"/>
      <w:bookmarkStart w:id="208" w:name="_Toc152766695"/>
      <w:bookmarkStart w:id="209" w:name="_Toc534295047"/>
      <w:bookmarkStart w:id="210" w:name="_Toc534298611"/>
      <w:bookmarkStart w:id="211" w:name="_Toc534294932"/>
      <w:r>
        <w:rPr>
          <w:sz w:val="28"/>
          <w:szCs w:val="28"/>
        </w:rPr>
        <w:t>五、安全施工</w:t>
      </w:r>
      <w:bookmarkEnd w:id="205"/>
      <w:bookmarkEnd w:id="206"/>
      <w:bookmarkEnd w:id="207"/>
      <w:bookmarkEnd w:id="208"/>
      <w:bookmarkEnd w:id="209"/>
      <w:bookmarkEnd w:id="210"/>
      <w:bookmarkEnd w:id="211"/>
      <w:r>
        <w:rPr>
          <w:sz w:val="28"/>
          <w:szCs w:val="28"/>
        </w:rPr>
        <w:t xml:space="preserve"> </w:t>
      </w:r>
    </w:p>
    <w:p w14:paraId="7E9AAE37">
      <w:pPr>
        <w:pStyle w:val="101"/>
        <w:rPr>
          <w:b w:val="0"/>
          <w:bCs w:val="0"/>
          <w:sz w:val="21"/>
          <w:szCs w:val="18"/>
        </w:rPr>
      </w:pPr>
      <w:bookmarkStart w:id="212" w:name="_Toc534294782"/>
      <w:bookmarkStart w:id="213" w:name="_Toc5971563"/>
      <w:bookmarkStart w:id="214" w:name="_Toc534295048"/>
      <w:bookmarkStart w:id="215" w:name="_Toc534294310"/>
      <w:bookmarkStart w:id="216" w:name="_Toc152766696"/>
      <w:bookmarkStart w:id="217" w:name="_Toc534298848"/>
      <w:bookmarkStart w:id="218" w:name="_Toc534294933"/>
      <w:bookmarkStart w:id="219" w:name="_Toc534298612"/>
      <w:r>
        <w:t>20、安全施工与检查</w:t>
      </w:r>
      <w:bookmarkEnd w:id="212"/>
      <w:bookmarkEnd w:id="213"/>
      <w:bookmarkEnd w:id="214"/>
      <w:bookmarkEnd w:id="215"/>
      <w:bookmarkEnd w:id="216"/>
      <w:bookmarkEnd w:id="217"/>
      <w:bookmarkEnd w:id="218"/>
      <w:bookmarkEnd w:id="219"/>
      <w:r>
        <w:rPr>
          <w:b w:val="0"/>
          <w:bCs w:val="0"/>
          <w:sz w:val="21"/>
          <w:szCs w:val="18"/>
        </w:rPr>
        <w:t xml:space="preserve"> </w:t>
      </w:r>
    </w:p>
    <w:p w14:paraId="5FCBE1F6">
      <w:pPr>
        <w:pStyle w:val="20"/>
        <w:adjustRightInd w:val="0"/>
        <w:snapToGrid w:val="0"/>
        <w:spacing w:before="0" w:beforeAutospacing="0" w:after="0" w:afterAutospacing="0"/>
        <w:rPr>
          <w:rFonts w:hint="default"/>
          <w:sz w:val="21"/>
          <w:szCs w:val="18"/>
        </w:rPr>
      </w:pPr>
      <w:r>
        <w:rPr>
          <w:sz w:val="21"/>
          <w:szCs w:val="18"/>
        </w:rPr>
        <w:t>　　乙方应遵守工程建设安全生产有关管理规定，严格按安全标准组织施工，并随时接受行业安全检查人员依法实施的监督检查，采取必要的安全防护措施，消除事故隐患。本合同为包安全施工的合同，乙方对其施工人员和施工区域承担全部的安全责任。</w:t>
      </w:r>
      <w:r>
        <w:rPr>
          <w:rFonts w:hint="default"/>
          <w:sz w:val="21"/>
          <w:szCs w:val="18"/>
        </w:rPr>
        <w:t xml:space="preserve"> </w:t>
      </w:r>
    </w:p>
    <w:p w14:paraId="2372375C">
      <w:pPr>
        <w:pStyle w:val="101"/>
      </w:pPr>
      <w:bookmarkStart w:id="220" w:name="_Toc534294783"/>
      <w:bookmarkStart w:id="221" w:name="_Toc534298613"/>
      <w:bookmarkStart w:id="222" w:name="_Toc534294934"/>
      <w:bookmarkStart w:id="223" w:name="_Toc152766697"/>
      <w:bookmarkStart w:id="224" w:name="_Toc534294311"/>
      <w:bookmarkStart w:id="225" w:name="_Toc534298849"/>
      <w:bookmarkStart w:id="226" w:name="_Toc5971564"/>
      <w:bookmarkStart w:id="227" w:name="_Toc534295049"/>
      <w:r>
        <w:t>21、安全防护</w:t>
      </w:r>
      <w:bookmarkEnd w:id="220"/>
      <w:bookmarkEnd w:id="221"/>
      <w:bookmarkEnd w:id="222"/>
      <w:bookmarkEnd w:id="223"/>
      <w:bookmarkEnd w:id="224"/>
      <w:bookmarkEnd w:id="225"/>
      <w:bookmarkEnd w:id="226"/>
      <w:bookmarkEnd w:id="227"/>
      <w:r>
        <w:t xml:space="preserve"> </w:t>
      </w:r>
    </w:p>
    <w:p w14:paraId="2B7E4D2C">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21.1乙方在动力设备、输电线路、地下管道、密封防震车间、易燃易爆地段以及临街交通要道附近施工时，施工开始前应向甲方提出安全防护措施，经甲方认可后实施。 </w:t>
      </w:r>
    </w:p>
    <w:p w14:paraId="653DC0FD">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21.2实施爆破作业，在放射、毒害性环境中施工（含储存、运输、使用）及使用毒害性、腐蚀性物品施工时，乙方应在施工前7天以书面通知甲方，并提出相应的安全防护措施，经甲方认可后实施。 </w:t>
      </w:r>
    </w:p>
    <w:p w14:paraId="240BAF91">
      <w:pPr>
        <w:pStyle w:val="101"/>
        <w:rPr>
          <w:b w:val="0"/>
          <w:bCs w:val="0"/>
          <w:sz w:val="21"/>
          <w:szCs w:val="18"/>
        </w:rPr>
      </w:pPr>
      <w:bookmarkStart w:id="228" w:name="_Toc534294312"/>
      <w:bookmarkStart w:id="229" w:name="_Toc534298614"/>
      <w:bookmarkStart w:id="230" w:name="_Toc534295050"/>
      <w:bookmarkStart w:id="231" w:name="_Toc5971565"/>
      <w:bookmarkStart w:id="232" w:name="_Toc534294784"/>
      <w:bookmarkStart w:id="233" w:name="_Toc152766698"/>
      <w:bookmarkStart w:id="234" w:name="_Toc534298850"/>
      <w:bookmarkStart w:id="235" w:name="_Toc534294935"/>
      <w:r>
        <w:t>22、事故处理</w:t>
      </w:r>
      <w:bookmarkEnd w:id="228"/>
      <w:bookmarkEnd w:id="229"/>
      <w:bookmarkEnd w:id="230"/>
      <w:bookmarkEnd w:id="231"/>
      <w:bookmarkEnd w:id="232"/>
      <w:bookmarkEnd w:id="233"/>
      <w:bookmarkEnd w:id="234"/>
      <w:bookmarkEnd w:id="235"/>
      <w:r>
        <w:t xml:space="preserve"> </w:t>
      </w:r>
    </w:p>
    <w:p w14:paraId="5101A24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22.1发生重大伤亡及其他安全事故，乙方应按有关规定立即上报有关部门并通知甲方，同时按政府有关部门要求处理，由事故责任方承担发生的费用。 </w:t>
      </w:r>
    </w:p>
    <w:p w14:paraId="4AEC0B6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22.2甲方乙方对事故责任有争议时，应按政府有关部门的认定处理。 </w:t>
      </w:r>
    </w:p>
    <w:p w14:paraId="155BCC22">
      <w:pPr>
        <w:pStyle w:val="2"/>
        <w:spacing w:before="60" w:after="60"/>
        <w:jc w:val="left"/>
        <w:rPr>
          <w:sz w:val="28"/>
          <w:szCs w:val="28"/>
        </w:rPr>
      </w:pPr>
      <w:bookmarkStart w:id="236" w:name="_Toc152766699"/>
      <w:bookmarkStart w:id="237" w:name="_Toc534295051"/>
      <w:bookmarkStart w:id="238" w:name="_Toc534294313"/>
      <w:bookmarkStart w:id="239" w:name="_Toc534294785"/>
      <w:bookmarkStart w:id="240" w:name="_Toc534294936"/>
      <w:bookmarkStart w:id="241" w:name="_Toc534298851"/>
      <w:bookmarkStart w:id="242" w:name="_Toc534298615"/>
      <w:r>
        <w:rPr>
          <w:sz w:val="28"/>
          <w:szCs w:val="28"/>
        </w:rPr>
        <w:t>六、合同价款与支付</w:t>
      </w:r>
      <w:bookmarkEnd w:id="236"/>
      <w:bookmarkEnd w:id="237"/>
      <w:bookmarkEnd w:id="238"/>
      <w:bookmarkEnd w:id="239"/>
      <w:bookmarkEnd w:id="240"/>
      <w:bookmarkEnd w:id="241"/>
      <w:bookmarkEnd w:id="242"/>
      <w:r>
        <w:rPr>
          <w:sz w:val="28"/>
          <w:szCs w:val="28"/>
        </w:rPr>
        <w:t xml:space="preserve"> </w:t>
      </w:r>
    </w:p>
    <w:p w14:paraId="4E42B1F1">
      <w:pPr>
        <w:pStyle w:val="101"/>
        <w:rPr>
          <w:b w:val="0"/>
          <w:bCs w:val="0"/>
          <w:sz w:val="21"/>
          <w:szCs w:val="18"/>
        </w:rPr>
      </w:pPr>
      <w:bookmarkStart w:id="243" w:name="_Toc534298852"/>
      <w:bookmarkStart w:id="244" w:name="_Toc534294937"/>
      <w:bookmarkStart w:id="245" w:name="_Toc534295052"/>
      <w:bookmarkStart w:id="246" w:name="_Toc152766700"/>
      <w:bookmarkStart w:id="247" w:name="_Toc534298616"/>
      <w:bookmarkStart w:id="248" w:name="_Toc534294786"/>
      <w:bookmarkStart w:id="249" w:name="_Toc534294314"/>
      <w:bookmarkStart w:id="250" w:name="_Toc5971567"/>
      <w:r>
        <w:t>23、合同价款</w:t>
      </w:r>
      <w:bookmarkEnd w:id="243"/>
      <w:bookmarkEnd w:id="244"/>
      <w:bookmarkEnd w:id="245"/>
      <w:bookmarkEnd w:id="246"/>
      <w:bookmarkEnd w:id="247"/>
      <w:bookmarkEnd w:id="248"/>
      <w:bookmarkEnd w:id="249"/>
      <w:bookmarkEnd w:id="250"/>
      <w:r>
        <w:t xml:space="preserve"> </w:t>
      </w:r>
    </w:p>
    <w:p w14:paraId="1788C3B1">
      <w:pPr>
        <w:pStyle w:val="20"/>
        <w:adjustRightInd w:val="0"/>
        <w:snapToGrid w:val="0"/>
        <w:spacing w:before="0" w:beforeAutospacing="0" w:after="0" w:afterAutospacing="0"/>
        <w:rPr>
          <w:rFonts w:hint="default"/>
          <w:sz w:val="21"/>
          <w:szCs w:val="18"/>
        </w:rPr>
      </w:pPr>
      <w:r>
        <w:rPr>
          <w:sz w:val="21"/>
          <w:szCs w:val="18"/>
        </w:rPr>
        <w:t>　　合同工程的合同价款见本合同的《专用条款》部分。</w:t>
      </w:r>
    </w:p>
    <w:p w14:paraId="1D814720">
      <w:pPr>
        <w:pStyle w:val="101"/>
      </w:pPr>
      <w:bookmarkStart w:id="251" w:name="_Toc534294787"/>
      <w:bookmarkStart w:id="252" w:name="_Toc534295053"/>
      <w:bookmarkStart w:id="253" w:name="_Toc534298617"/>
      <w:bookmarkStart w:id="254" w:name="_Toc534294938"/>
      <w:bookmarkStart w:id="255" w:name="_Toc534298853"/>
      <w:bookmarkStart w:id="256" w:name="_Toc152766701"/>
      <w:bookmarkStart w:id="257" w:name="_Toc534294315"/>
      <w:bookmarkStart w:id="258" w:name="_Toc5971568"/>
      <w:r>
        <w:t>24、合同价款的调整</w:t>
      </w:r>
      <w:bookmarkEnd w:id="251"/>
      <w:bookmarkEnd w:id="252"/>
      <w:bookmarkEnd w:id="253"/>
      <w:bookmarkEnd w:id="254"/>
      <w:bookmarkEnd w:id="255"/>
      <w:bookmarkEnd w:id="256"/>
      <w:bookmarkEnd w:id="257"/>
      <w:bookmarkEnd w:id="258"/>
    </w:p>
    <w:p w14:paraId="7EC4A0F1">
      <w:pPr>
        <w:pStyle w:val="20"/>
        <w:adjustRightInd w:val="0"/>
        <w:snapToGrid w:val="0"/>
        <w:spacing w:before="0" w:beforeAutospacing="0" w:after="0" w:afterAutospacing="0"/>
        <w:ind w:firstLine="420" w:firstLineChars="200"/>
        <w:rPr>
          <w:rFonts w:hint="default"/>
          <w:sz w:val="21"/>
          <w:szCs w:val="18"/>
        </w:rPr>
      </w:pPr>
      <w:r>
        <w:rPr>
          <w:sz w:val="21"/>
          <w:szCs w:val="18"/>
        </w:rPr>
        <w:t>合同工程的合同价款的调整见本合同的《专用条款》部分。</w:t>
      </w:r>
    </w:p>
    <w:p w14:paraId="40AEFEC4">
      <w:pPr>
        <w:pStyle w:val="101"/>
        <w:rPr>
          <w:b w:val="0"/>
          <w:bCs w:val="0"/>
          <w:sz w:val="21"/>
          <w:szCs w:val="18"/>
        </w:rPr>
      </w:pPr>
      <w:bookmarkStart w:id="259" w:name="_Toc534294939"/>
      <w:bookmarkStart w:id="260" w:name="_Toc5971569"/>
      <w:bookmarkStart w:id="261" w:name="_Toc534294788"/>
      <w:bookmarkStart w:id="262" w:name="_Toc534298854"/>
      <w:bookmarkStart w:id="263" w:name="_Toc534298618"/>
      <w:bookmarkStart w:id="264" w:name="_Toc534294316"/>
      <w:bookmarkStart w:id="265" w:name="_Toc152766702"/>
      <w:bookmarkStart w:id="266" w:name="_Toc534295054"/>
      <w:r>
        <w:t>25、工程量的确认</w:t>
      </w:r>
      <w:bookmarkEnd w:id="259"/>
      <w:bookmarkEnd w:id="260"/>
      <w:bookmarkEnd w:id="261"/>
      <w:bookmarkEnd w:id="262"/>
      <w:bookmarkEnd w:id="263"/>
      <w:bookmarkEnd w:id="264"/>
      <w:bookmarkEnd w:id="265"/>
      <w:bookmarkEnd w:id="266"/>
      <w:r>
        <w:rPr>
          <w:b w:val="0"/>
          <w:bCs w:val="0"/>
          <w:sz w:val="21"/>
          <w:szCs w:val="18"/>
        </w:rPr>
        <w:t xml:space="preserve"> </w:t>
      </w:r>
    </w:p>
    <w:p w14:paraId="5373B12B">
      <w:pPr>
        <w:pStyle w:val="20"/>
        <w:adjustRightInd w:val="0"/>
        <w:snapToGrid w:val="0"/>
        <w:spacing w:before="0" w:beforeAutospacing="0" w:after="0" w:afterAutospacing="0"/>
        <w:ind w:firstLine="480"/>
        <w:rPr>
          <w:rFonts w:hint="default"/>
          <w:b/>
          <w:bCs/>
          <w:sz w:val="21"/>
          <w:szCs w:val="18"/>
        </w:rPr>
      </w:pPr>
      <w:r>
        <w:rPr>
          <w:sz w:val="21"/>
          <w:szCs w:val="18"/>
        </w:rPr>
        <w:t>合同工程的工程量的确认见本合同的《专用条款》部分。</w:t>
      </w:r>
    </w:p>
    <w:p w14:paraId="1CA6B864">
      <w:pPr>
        <w:pStyle w:val="101"/>
      </w:pPr>
      <w:bookmarkStart w:id="267" w:name="_Toc534294940"/>
      <w:bookmarkStart w:id="268" w:name="_Toc534295055"/>
      <w:bookmarkStart w:id="269" w:name="_Toc5971570"/>
      <w:bookmarkStart w:id="270" w:name="_Toc152766703"/>
      <w:bookmarkStart w:id="271" w:name="_Toc534298855"/>
      <w:bookmarkStart w:id="272" w:name="_Toc534298619"/>
      <w:bookmarkStart w:id="273" w:name="_Toc534294789"/>
      <w:bookmarkStart w:id="274" w:name="_Toc534294317"/>
      <w:r>
        <w:t>26、工程款（或进度款）支付</w:t>
      </w:r>
      <w:bookmarkEnd w:id="267"/>
      <w:bookmarkEnd w:id="268"/>
      <w:bookmarkEnd w:id="269"/>
      <w:bookmarkEnd w:id="270"/>
      <w:bookmarkEnd w:id="271"/>
      <w:bookmarkEnd w:id="272"/>
      <w:bookmarkEnd w:id="273"/>
      <w:bookmarkEnd w:id="274"/>
    </w:p>
    <w:p w14:paraId="396D3225">
      <w:pPr>
        <w:pStyle w:val="20"/>
        <w:adjustRightInd w:val="0"/>
        <w:snapToGrid w:val="0"/>
        <w:spacing w:before="0" w:beforeAutospacing="0" w:after="0" w:afterAutospacing="0"/>
        <w:ind w:firstLine="480"/>
        <w:rPr>
          <w:rFonts w:hint="default"/>
          <w:b/>
          <w:bCs/>
          <w:sz w:val="21"/>
          <w:szCs w:val="18"/>
        </w:rPr>
      </w:pPr>
      <w:r>
        <w:rPr>
          <w:sz w:val="21"/>
          <w:szCs w:val="18"/>
        </w:rPr>
        <w:t>合同工程的工程款（或进度款）的支付见本合同的《专用条款》部分。</w:t>
      </w:r>
    </w:p>
    <w:p w14:paraId="57E36AAF">
      <w:pPr>
        <w:pStyle w:val="2"/>
        <w:spacing w:before="60" w:after="60"/>
        <w:jc w:val="left"/>
        <w:rPr>
          <w:sz w:val="28"/>
          <w:szCs w:val="28"/>
        </w:rPr>
      </w:pPr>
      <w:bookmarkStart w:id="275" w:name="_Toc534294790"/>
      <w:bookmarkStart w:id="276" w:name="_Toc152766704"/>
      <w:bookmarkStart w:id="277" w:name="_Toc534298856"/>
      <w:bookmarkStart w:id="278" w:name="_Toc534294318"/>
      <w:bookmarkStart w:id="279" w:name="_Toc534294941"/>
      <w:bookmarkStart w:id="280" w:name="_Toc534298620"/>
      <w:bookmarkStart w:id="281" w:name="_Toc534295056"/>
      <w:r>
        <w:rPr>
          <w:sz w:val="28"/>
          <w:szCs w:val="28"/>
        </w:rPr>
        <w:t>七、材料设备供应</w:t>
      </w:r>
      <w:bookmarkEnd w:id="275"/>
      <w:bookmarkEnd w:id="276"/>
      <w:bookmarkEnd w:id="277"/>
      <w:bookmarkEnd w:id="278"/>
      <w:bookmarkEnd w:id="279"/>
      <w:bookmarkEnd w:id="280"/>
      <w:bookmarkEnd w:id="281"/>
      <w:r>
        <w:rPr>
          <w:sz w:val="28"/>
          <w:szCs w:val="28"/>
        </w:rPr>
        <w:t xml:space="preserve"> </w:t>
      </w:r>
    </w:p>
    <w:p w14:paraId="07D077C0">
      <w:pPr>
        <w:pStyle w:val="101"/>
        <w:rPr>
          <w:b w:val="0"/>
          <w:bCs w:val="0"/>
          <w:sz w:val="21"/>
          <w:szCs w:val="18"/>
        </w:rPr>
      </w:pPr>
      <w:bookmarkStart w:id="282" w:name="_Toc534298857"/>
      <w:bookmarkStart w:id="283" w:name="_Toc5971572"/>
      <w:bookmarkStart w:id="284" w:name="_Toc534298621"/>
      <w:bookmarkStart w:id="285" w:name="_Toc534294942"/>
      <w:bookmarkStart w:id="286" w:name="_Toc152766705"/>
      <w:bookmarkStart w:id="287" w:name="_Toc534294791"/>
      <w:bookmarkStart w:id="288" w:name="_Toc534295057"/>
      <w:bookmarkStart w:id="289" w:name="_Toc534294319"/>
      <w:r>
        <w:t>27、材料供应</w:t>
      </w:r>
      <w:bookmarkEnd w:id="282"/>
      <w:bookmarkEnd w:id="283"/>
      <w:bookmarkEnd w:id="284"/>
      <w:bookmarkEnd w:id="285"/>
      <w:bookmarkEnd w:id="286"/>
      <w:bookmarkEnd w:id="287"/>
      <w:bookmarkEnd w:id="288"/>
      <w:bookmarkEnd w:id="289"/>
      <w:r>
        <w:t xml:space="preserve"> </w:t>
      </w:r>
    </w:p>
    <w:p w14:paraId="27383DEE">
      <w:pPr>
        <w:pStyle w:val="20"/>
        <w:adjustRightInd w:val="0"/>
        <w:snapToGrid w:val="0"/>
        <w:spacing w:before="0" w:beforeAutospacing="0" w:after="0" w:afterAutospacing="0"/>
        <w:ind w:firstLine="480"/>
        <w:rPr>
          <w:rFonts w:hint="default"/>
          <w:sz w:val="21"/>
          <w:szCs w:val="18"/>
        </w:rPr>
      </w:pPr>
      <w:r>
        <w:rPr>
          <w:rFonts w:hint="default"/>
          <w:sz w:val="21"/>
          <w:szCs w:val="18"/>
        </w:rPr>
        <w:t>27.1甲方供应的材料由双方在《专用条款》中明确。</w:t>
      </w:r>
    </w:p>
    <w:p w14:paraId="6F8BAC64">
      <w:pPr>
        <w:pStyle w:val="20"/>
        <w:adjustRightInd w:val="0"/>
        <w:snapToGrid w:val="0"/>
        <w:spacing w:before="0" w:beforeAutospacing="0" w:after="0" w:afterAutospacing="0"/>
        <w:ind w:firstLine="480"/>
        <w:rPr>
          <w:rFonts w:hint="default"/>
          <w:sz w:val="21"/>
          <w:szCs w:val="18"/>
        </w:rPr>
      </w:pPr>
      <w:r>
        <w:rPr>
          <w:rFonts w:hint="default"/>
          <w:sz w:val="21"/>
          <w:szCs w:val="18"/>
        </w:rPr>
        <w:t>27.2乙方采购的材料均应保证质量，因材料质量发生的问题，由乙方负责。由甲方供应的材料乙方在使用前应进行质量复检。</w:t>
      </w:r>
      <w:r>
        <w:rPr>
          <w:sz w:val="21"/>
          <w:szCs w:val="18"/>
        </w:rPr>
        <w:t>甲方供应的材料到货前24小时通知乙方，由甲乙双方共同办理交接手续。</w:t>
      </w:r>
    </w:p>
    <w:p w14:paraId="7582E610">
      <w:pPr>
        <w:pStyle w:val="20"/>
        <w:adjustRightInd w:val="0"/>
        <w:snapToGrid w:val="0"/>
        <w:spacing w:before="0" w:beforeAutospacing="0" w:after="0" w:afterAutospacing="0"/>
        <w:ind w:firstLine="480"/>
        <w:rPr>
          <w:rFonts w:hint="default"/>
          <w:sz w:val="21"/>
          <w:szCs w:val="18"/>
        </w:rPr>
      </w:pPr>
      <w:r>
        <w:rPr>
          <w:rFonts w:hint="default"/>
          <w:sz w:val="21"/>
          <w:szCs w:val="18"/>
        </w:rPr>
        <w:t>27.3材料代用需经甲方和监理单位、设计单位共同会签认可，未经认可或批准乙方不得自行代用，否则甲方不计算工程量或进行工程返工。</w:t>
      </w:r>
    </w:p>
    <w:p w14:paraId="0DFE5BCF">
      <w:pPr>
        <w:pStyle w:val="20"/>
        <w:adjustRightInd w:val="0"/>
        <w:snapToGrid w:val="0"/>
        <w:spacing w:before="0" w:beforeAutospacing="0" w:after="0" w:afterAutospacing="0"/>
        <w:ind w:firstLine="480"/>
        <w:rPr>
          <w:rFonts w:hint="default"/>
          <w:sz w:val="21"/>
          <w:szCs w:val="18"/>
        </w:rPr>
      </w:pPr>
      <w:r>
        <w:rPr>
          <w:sz w:val="21"/>
          <w:szCs w:val="18"/>
        </w:rPr>
        <w:t>27.4其他见本合同的《专用条款》部分。</w:t>
      </w:r>
    </w:p>
    <w:p w14:paraId="3C358D6D">
      <w:pPr>
        <w:pStyle w:val="101"/>
      </w:pPr>
      <w:bookmarkStart w:id="290" w:name="_Toc5971573"/>
      <w:bookmarkStart w:id="291" w:name="_Toc534294943"/>
      <w:bookmarkStart w:id="292" w:name="_Toc534295058"/>
      <w:bookmarkStart w:id="293" w:name="_Toc534298622"/>
      <w:bookmarkStart w:id="294" w:name="_Toc534298858"/>
      <w:bookmarkStart w:id="295" w:name="_Toc534294792"/>
      <w:bookmarkStart w:id="296" w:name="_Toc152766706"/>
      <w:bookmarkStart w:id="297" w:name="_Toc534294320"/>
      <w:r>
        <w:t>28、设备供应</w:t>
      </w:r>
      <w:bookmarkEnd w:id="290"/>
      <w:bookmarkEnd w:id="291"/>
      <w:bookmarkEnd w:id="292"/>
      <w:bookmarkEnd w:id="293"/>
      <w:bookmarkEnd w:id="294"/>
      <w:bookmarkEnd w:id="295"/>
      <w:bookmarkEnd w:id="296"/>
      <w:bookmarkEnd w:id="297"/>
    </w:p>
    <w:p w14:paraId="07568CD9">
      <w:pPr>
        <w:pStyle w:val="20"/>
        <w:adjustRightInd w:val="0"/>
        <w:snapToGrid w:val="0"/>
        <w:spacing w:before="0" w:beforeAutospacing="0" w:after="0" w:afterAutospacing="0"/>
        <w:ind w:firstLine="420" w:firstLineChars="200"/>
        <w:rPr>
          <w:rFonts w:hint="default"/>
          <w:sz w:val="21"/>
          <w:szCs w:val="18"/>
        </w:rPr>
      </w:pPr>
      <w:r>
        <w:rPr>
          <w:sz w:val="21"/>
          <w:szCs w:val="18"/>
        </w:rPr>
        <w:t>无设备供应</w:t>
      </w:r>
    </w:p>
    <w:p w14:paraId="09242ABF">
      <w:pPr>
        <w:pStyle w:val="2"/>
        <w:spacing w:before="60" w:after="60"/>
        <w:jc w:val="left"/>
        <w:rPr>
          <w:sz w:val="28"/>
          <w:szCs w:val="28"/>
        </w:rPr>
      </w:pPr>
      <w:bookmarkStart w:id="298" w:name="_Toc534294321"/>
      <w:bookmarkStart w:id="299" w:name="_Toc534294944"/>
      <w:bookmarkStart w:id="300" w:name="_Toc534294793"/>
      <w:bookmarkStart w:id="301" w:name="_Toc534295059"/>
      <w:bookmarkStart w:id="302" w:name="_Toc152766707"/>
      <w:bookmarkStart w:id="303" w:name="_Toc534298623"/>
      <w:bookmarkStart w:id="304" w:name="_Toc534298859"/>
      <w:r>
        <w:rPr>
          <w:sz w:val="28"/>
          <w:szCs w:val="28"/>
        </w:rPr>
        <w:t>八、工程变更</w:t>
      </w:r>
      <w:bookmarkEnd w:id="298"/>
      <w:bookmarkEnd w:id="299"/>
      <w:bookmarkEnd w:id="300"/>
      <w:bookmarkEnd w:id="301"/>
      <w:bookmarkEnd w:id="302"/>
      <w:bookmarkEnd w:id="303"/>
      <w:bookmarkEnd w:id="304"/>
      <w:r>
        <w:rPr>
          <w:sz w:val="28"/>
          <w:szCs w:val="28"/>
        </w:rPr>
        <w:t xml:space="preserve"> </w:t>
      </w:r>
    </w:p>
    <w:p w14:paraId="6F29735E">
      <w:pPr>
        <w:pStyle w:val="101"/>
        <w:rPr>
          <w:b w:val="0"/>
          <w:bCs w:val="0"/>
          <w:sz w:val="21"/>
          <w:szCs w:val="18"/>
        </w:rPr>
      </w:pPr>
      <w:bookmarkStart w:id="305" w:name="_Toc534295060"/>
      <w:bookmarkStart w:id="306" w:name="_Toc534298860"/>
      <w:bookmarkStart w:id="307" w:name="_Toc534294794"/>
      <w:bookmarkStart w:id="308" w:name="_Toc534294945"/>
      <w:bookmarkStart w:id="309" w:name="_Toc534298624"/>
      <w:bookmarkStart w:id="310" w:name="_Toc534294322"/>
      <w:bookmarkStart w:id="311" w:name="_Toc5971575"/>
      <w:bookmarkStart w:id="312" w:name="_Toc152766708"/>
      <w:r>
        <w:t>29、工程设计变更</w:t>
      </w:r>
      <w:bookmarkEnd w:id="305"/>
      <w:bookmarkEnd w:id="306"/>
      <w:bookmarkEnd w:id="307"/>
      <w:bookmarkEnd w:id="308"/>
      <w:bookmarkEnd w:id="309"/>
      <w:bookmarkEnd w:id="310"/>
      <w:bookmarkEnd w:id="311"/>
      <w:bookmarkEnd w:id="312"/>
      <w:r>
        <w:t xml:space="preserve"> </w:t>
      </w:r>
    </w:p>
    <w:p w14:paraId="4AA8D9A4">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29.1 施工中甲方因方案变更或设计原因需对原工程设计进行变更，应在相应部分施工前</w:t>
      </w:r>
      <w:r>
        <w:rPr>
          <w:sz w:val="21"/>
          <w:szCs w:val="18"/>
        </w:rPr>
        <w:t>72</w:t>
      </w:r>
      <w:r>
        <w:rPr>
          <w:rFonts w:hint="default"/>
          <w:sz w:val="21"/>
          <w:szCs w:val="18"/>
        </w:rPr>
        <w:t xml:space="preserve">小时以书面形式向乙方发出变更通知。由原设计单位提供变更的相应图纸和说明。乙方按照设计单位发出的变更通知及有关要求，进行组织施工。 </w:t>
      </w:r>
    </w:p>
    <w:p w14:paraId="5B21B12E">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29.2 施工中乙方不得对原工程设计进行单方面的变更。因乙方擅自变更设计发生的费用和由此导致甲方的直接损失，由乙方承担，延误的工期不予顺延。 </w:t>
      </w:r>
    </w:p>
    <w:p w14:paraId="15166E23">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29.3 乙方在施工中提出的合理化建议涉及到对设计图纸的更改及对材料、设备的换用，须书面向甲方提出申请，在甲方、监理单位和设计单位同意并办理变更和换用手续后，方可变更。未经同意擅自更改或换用时，乙方承担由此发生的费用，并赔偿甲方的有关损失，延误的工期不予顺延。 </w:t>
      </w:r>
    </w:p>
    <w:p w14:paraId="5B30EC04">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29.4 甲方接到乙方申请后，应在24小时以内以书面形式答复意见。 </w:t>
      </w:r>
    </w:p>
    <w:p w14:paraId="67B1F407">
      <w:pPr>
        <w:pStyle w:val="101"/>
      </w:pPr>
      <w:bookmarkStart w:id="313" w:name="_Toc534294946"/>
      <w:bookmarkStart w:id="314" w:name="_Toc534298625"/>
      <w:bookmarkStart w:id="315" w:name="_Toc534294323"/>
      <w:bookmarkStart w:id="316" w:name="_Toc152766709"/>
      <w:bookmarkStart w:id="317" w:name="_Toc5971576"/>
      <w:bookmarkStart w:id="318" w:name="_Toc534295061"/>
      <w:bookmarkStart w:id="319" w:name="_Toc534294795"/>
      <w:bookmarkStart w:id="320" w:name="_Toc534298861"/>
      <w:r>
        <w:t>30、其他变更</w:t>
      </w:r>
      <w:bookmarkEnd w:id="313"/>
      <w:bookmarkEnd w:id="314"/>
      <w:bookmarkEnd w:id="315"/>
      <w:bookmarkEnd w:id="316"/>
      <w:bookmarkEnd w:id="317"/>
      <w:bookmarkEnd w:id="318"/>
      <w:bookmarkEnd w:id="319"/>
      <w:bookmarkEnd w:id="320"/>
    </w:p>
    <w:p w14:paraId="54B6DBB6">
      <w:pPr>
        <w:pStyle w:val="20"/>
        <w:adjustRightInd w:val="0"/>
        <w:snapToGrid w:val="0"/>
        <w:spacing w:before="0" w:beforeAutospacing="0" w:after="0" w:afterAutospacing="0"/>
        <w:rPr>
          <w:rFonts w:hint="default"/>
          <w:sz w:val="21"/>
          <w:szCs w:val="18"/>
        </w:rPr>
      </w:pPr>
      <w:r>
        <w:rPr>
          <w:sz w:val="21"/>
          <w:szCs w:val="18"/>
        </w:rPr>
        <w:t>　　合同履行中甲方要求变更工程质量标准、工程量变更或发生其他变更，甲方的变更是实质性的，由双方对超出部分按照合同《专用条款》中规定进行协商，并由双方对协商结果签定《补充协议》，作为本合同的附件。</w:t>
      </w:r>
      <w:r>
        <w:rPr>
          <w:rFonts w:hint="default"/>
          <w:sz w:val="21"/>
          <w:szCs w:val="18"/>
        </w:rPr>
        <w:t xml:space="preserve"> </w:t>
      </w:r>
    </w:p>
    <w:p w14:paraId="34D814E6">
      <w:pPr>
        <w:pStyle w:val="2"/>
        <w:spacing w:before="60" w:after="60"/>
        <w:jc w:val="left"/>
        <w:rPr>
          <w:sz w:val="28"/>
          <w:szCs w:val="28"/>
        </w:rPr>
      </w:pPr>
      <w:bookmarkStart w:id="321" w:name="_Toc534295062"/>
      <w:bookmarkStart w:id="322" w:name="_Toc534294324"/>
      <w:bookmarkStart w:id="323" w:name="_Toc534294796"/>
      <w:bookmarkStart w:id="324" w:name="_Toc534294947"/>
      <w:bookmarkStart w:id="325" w:name="_Toc534298862"/>
      <w:bookmarkStart w:id="326" w:name="_Toc152766710"/>
      <w:bookmarkStart w:id="327" w:name="_Toc534298626"/>
      <w:r>
        <w:rPr>
          <w:sz w:val="28"/>
          <w:szCs w:val="28"/>
        </w:rPr>
        <w:t>九、竣工验收与结算</w:t>
      </w:r>
      <w:bookmarkEnd w:id="321"/>
      <w:bookmarkEnd w:id="322"/>
      <w:bookmarkEnd w:id="323"/>
      <w:bookmarkEnd w:id="324"/>
      <w:bookmarkEnd w:id="325"/>
      <w:bookmarkEnd w:id="326"/>
      <w:bookmarkEnd w:id="327"/>
      <w:r>
        <w:rPr>
          <w:sz w:val="28"/>
          <w:szCs w:val="28"/>
        </w:rPr>
        <w:t xml:space="preserve"> </w:t>
      </w:r>
    </w:p>
    <w:p w14:paraId="32EA1026">
      <w:pPr>
        <w:pStyle w:val="101"/>
      </w:pPr>
      <w:bookmarkStart w:id="328" w:name="_Toc5971578"/>
      <w:bookmarkStart w:id="329" w:name="_Toc534294797"/>
      <w:bookmarkStart w:id="330" w:name="_Toc534298627"/>
      <w:bookmarkStart w:id="331" w:name="_Toc534294325"/>
      <w:bookmarkStart w:id="332" w:name="_Toc534295063"/>
      <w:bookmarkStart w:id="333" w:name="_Toc534294948"/>
      <w:bookmarkStart w:id="334" w:name="_Toc152766711"/>
      <w:bookmarkStart w:id="335" w:name="_Toc534298863"/>
      <w:r>
        <w:t>31、竣工验收的条件</w:t>
      </w:r>
      <w:bookmarkEnd w:id="328"/>
      <w:bookmarkEnd w:id="329"/>
      <w:bookmarkEnd w:id="330"/>
      <w:bookmarkEnd w:id="331"/>
      <w:bookmarkEnd w:id="332"/>
      <w:bookmarkEnd w:id="333"/>
      <w:bookmarkEnd w:id="334"/>
      <w:bookmarkEnd w:id="335"/>
    </w:p>
    <w:p w14:paraId="575E7020">
      <w:pPr>
        <w:pStyle w:val="20"/>
        <w:adjustRightInd w:val="0"/>
        <w:snapToGrid w:val="0"/>
        <w:spacing w:before="0" w:beforeAutospacing="0" w:after="0" w:afterAutospacing="0"/>
        <w:ind w:firstLine="480"/>
        <w:rPr>
          <w:rFonts w:hint="default"/>
          <w:sz w:val="21"/>
          <w:szCs w:val="18"/>
        </w:rPr>
      </w:pPr>
      <w:r>
        <w:rPr>
          <w:sz w:val="21"/>
          <w:szCs w:val="18"/>
        </w:rPr>
        <w:t>竣工验收的基本条件是乙方已按设计要求完成各项施工，且自检合格，并按《专用条款》的约定提供有关资料。</w:t>
      </w:r>
    </w:p>
    <w:p w14:paraId="19DB79C3">
      <w:pPr>
        <w:pStyle w:val="101"/>
        <w:rPr>
          <w:b w:val="0"/>
          <w:bCs w:val="0"/>
          <w:sz w:val="21"/>
          <w:szCs w:val="18"/>
        </w:rPr>
      </w:pPr>
      <w:bookmarkStart w:id="336" w:name="_Toc534295064"/>
      <w:bookmarkStart w:id="337" w:name="_Toc152766712"/>
      <w:bookmarkStart w:id="338" w:name="_Toc534294798"/>
      <w:bookmarkStart w:id="339" w:name="_Toc534294949"/>
      <w:bookmarkStart w:id="340" w:name="_Toc534294326"/>
      <w:bookmarkStart w:id="341" w:name="_Toc5971579"/>
      <w:bookmarkStart w:id="342" w:name="_Toc534298864"/>
      <w:bookmarkStart w:id="343" w:name="_Toc534298628"/>
      <w:r>
        <w:t>32、竣工验收的组织</w:t>
      </w:r>
      <w:bookmarkEnd w:id="336"/>
      <w:bookmarkEnd w:id="337"/>
      <w:bookmarkEnd w:id="338"/>
      <w:bookmarkEnd w:id="339"/>
      <w:bookmarkEnd w:id="340"/>
      <w:bookmarkEnd w:id="341"/>
      <w:bookmarkEnd w:id="342"/>
      <w:bookmarkEnd w:id="343"/>
    </w:p>
    <w:p w14:paraId="771F26FD">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32.1工程具备竣工验收条件，乙方按国家工程竣工验收有关规定，向甲方提供完整竣工资料及竣工验收报告。甲乙双方及监理单位进行预验，在预验合格的基础上，甲方组织有关单位按国家、行业、省、市有关标准及规范进行现场验收，并对被验收工程质量等级进行评审，验收合格后及时办理交工验收手续。竣工验收不合格，乙方应在甲方限定的期限内进行修改或返工，并提出重新验收的日期。 </w:t>
      </w:r>
    </w:p>
    <w:p w14:paraId="4051C024">
      <w:pPr>
        <w:pStyle w:val="20"/>
        <w:adjustRightInd w:val="0"/>
        <w:snapToGrid w:val="0"/>
        <w:spacing w:before="0" w:beforeAutospacing="0" w:after="0" w:afterAutospacing="0"/>
        <w:ind w:firstLine="480"/>
        <w:rPr>
          <w:rFonts w:hint="default"/>
          <w:sz w:val="21"/>
          <w:szCs w:val="18"/>
        </w:rPr>
      </w:pPr>
      <w:r>
        <w:rPr>
          <w:rFonts w:hint="default"/>
          <w:sz w:val="21"/>
          <w:szCs w:val="18"/>
        </w:rPr>
        <w:t>32.2 工程竣工程</w:t>
      </w:r>
      <w:r>
        <w:rPr>
          <w:sz w:val="21"/>
          <w:szCs w:val="18"/>
        </w:rPr>
        <w:t>验收</w:t>
      </w:r>
      <w:r>
        <w:rPr>
          <w:rFonts w:hint="default"/>
          <w:sz w:val="21"/>
          <w:szCs w:val="18"/>
        </w:rPr>
        <w:t>通过</w:t>
      </w:r>
      <w:r>
        <w:rPr>
          <w:sz w:val="21"/>
          <w:szCs w:val="18"/>
        </w:rPr>
        <w:t>，乙方送交</w:t>
      </w:r>
      <w:r>
        <w:rPr>
          <w:rFonts w:hint="default"/>
          <w:sz w:val="21"/>
          <w:szCs w:val="18"/>
        </w:rPr>
        <w:t>竣工验收</w:t>
      </w:r>
      <w:r>
        <w:rPr>
          <w:sz w:val="21"/>
          <w:szCs w:val="18"/>
        </w:rPr>
        <w:t>报告</w:t>
      </w:r>
      <w:r>
        <w:rPr>
          <w:rFonts w:hint="default"/>
          <w:sz w:val="21"/>
          <w:szCs w:val="18"/>
        </w:rPr>
        <w:t>的日期</w:t>
      </w:r>
      <w:r>
        <w:rPr>
          <w:sz w:val="21"/>
          <w:szCs w:val="18"/>
        </w:rPr>
        <w:t>为竣工日期</w:t>
      </w:r>
      <w:r>
        <w:rPr>
          <w:rFonts w:hint="default"/>
          <w:sz w:val="21"/>
          <w:szCs w:val="18"/>
        </w:rPr>
        <w:t xml:space="preserve">。 </w:t>
      </w:r>
    </w:p>
    <w:p w14:paraId="127F1958">
      <w:pPr>
        <w:pStyle w:val="20"/>
        <w:adjustRightInd w:val="0"/>
        <w:snapToGrid w:val="0"/>
        <w:spacing w:before="0" w:beforeAutospacing="0" w:after="0" w:afterAutospacing="0"/>
        <w:ind w:firstLine="480"/>
        <w:rPr>
          <w:rFonts w:hint="default"/>
          <w:sz w:val="21"/>
          <w:szCs w:val="18"/>
        </w:rPr>
      </w:pPr>
      <w:r>
        <w:rPr>
          <w:rFonts w:hint="default"/>
          <w:sz w:val="21"/>
          <w:szCs w:val="18"/>
        </w:rPr>
        <w:t>32.3中间交工工程的范围和竣工时间，双方在《专用条款》内约定，其验收程序按本通用条款32.1款至32.2款办理。</w:t>
      </w:r>
    </w:p>
    <w:p w14:paraId="24660232">
      <w:pPr>
        <w:pStyle w:val="101"/>
      </w:pPr>
      <w:bookmarkStart w:id="344" w:name="_Toc5971580"/>
      <w:bookmarkStart w:id="345" w:name="_Toc534294327"/>
      <w:bookmarkStart w:id="346" w:name="_Toc534294950"/>
      <w:bookmarkStart w:id="347" w:name="_Toc534298865"/>
      <w:bookmarkStart w:id="348" w:name="_Toc534295065"/>
      <w:bookmarkStart w:id="349" w:name="_Toc152766713"/>
      <w:bookmarkStart w:id="350" w:name="_Toc534294799"/>
      <w:bookmarkStart w:id="351" w:name="_Toc534298629"/>
      <w:r>
        <w:t>33、竣工验收报告</w:t>
      </w:r>
      <w:bookmarkEnd w:id="344"/>
      <w:bookmarkEnd w:id="345"/>
      <w:bookmarkEnd w:id="346"/>
      <w:bookmarkEnd w:id="347"/>
      <w:bookmarkEnd w:id="348"/>
      <w:bookmarkEnd w:id="349"/>
      <w:bookmarkEnd w:id="350"/>
      <w:bookmarkEnd w:id="351"/>
    </w:p>
    <w:p w14:paraId="7A37F387">
      <w:pPr>
        <w:pStyle w:val="20"/>
        <w:adjustRightInd w:val="0"/>
        <w:snapToGrid w:val="0"/>
        <w:spacing w:before="0" w:beforeAutospacing="0" w:after="0" w:afterAutospacing="0"/>
        <w:rPr>
          <w:rFonts w:hint="default"/>
          <w:sz w:val="21"/>
          <w:szCs w:val="18"/>
        </w:rPr>
      </w:pPr>
      <w:r>
        <w:rPr>
          <w:sz w:val="21"/>
          <w:szCs w:val="18"/>
        </w:rPr>
        <w:t>　　乙方应在竣工验收后向甲方提供所承担工程的竣工验收报告，竣工资料应按照国家有关规定执行，具体在《专用条款》中约定。</w:t>
      </w:r>
      <w:r>
        <w:rPr>
          <w:rFonts w:hint="default"/>
          <w:sz w:val="21"/>
          <w:szCs w:val="18"/>
        </w:rPr>
        <w:t xml:space="preserve"> </w:t>
      </w:r>
    </w:p>
    <w:p w14:paraId="732C3065">
      <w:pPr>
        <w:pStyle w:val="101"/>
        <w:rPr>
          <w:b w:val="0"/>
          <w:sz w:val="21"/>
          <w:szCs w:val="18"/>
        </w:rPr>
      </w:pPr>
      <w:bookmarkStart w:id="352" w:name="_Toc534294328"/>
      <w:bookmarkStart w:id="353" w:name="_Toc534294951"/>
      <w:bookmarkStart w:id="354" w:name="_Toc534294800"/>
      <w:bookmarkStart w:id="355" w:name="_Toc152766714"/>
      <w:bookmarkStart w:id="356" w:name="_Toc534298866"/>
      <w:bookmarkStart w:id="357" w:name="_Toc5971581"/>
      <w:bookmarkStart w:id="358" w:name="_Toc534298630"/>
      <w:bookmarkStart w:id="359" w:name="_Toc534295066"/>
      <w:r>
        <w:t>34、竣工结算报告</w:t>
      </w:r>
      <w:bookmarkEnd w:id="352"/>
      <w:bookmarkEnd w:id="353"/>
      <w:bookmarkEnd w:id="354"/>
      <w:bookmarkEnd w:id="355"/>
      <w:bookmarkEnd w:id="356"/>
      <w:bookmarkEnd w:id="357"/>
      <w:bookmarkEnd w:id="358"/>
      <w:bookmarkEnd w:id="359"/>
      <w:r>
        <w:rPr>
          <w:b w:val="0"/>
          <w:sz w:val="21"/>
          <w:szCs w:val="18"/>
        </w:rPr>
        <w:t xml:space="preserve"> </w:t>
      </w:r>
    </w:p>
    <w:p w14:paraId="0276D539">
      <w:pPr>
        <w:pStyle w:val="20"/>
        <w:adjustRightInd w:val="0"/>
        <w:snapToGrid w:val="0"/>
        <w:spacing w:before="0" w:beforeAutospacing="0" w:after="0" w:afterAutospacing="0"/>
        <w:ind w:firstLine="480"/>
        <w:rPr>
          <w:rFonts w:hint="default"/>
          <w:sz w:val="21"/>
          <w:szCs w:val="18"/>
        </w:rPr>
      </w:pPr>
      <w:r>
        <w:rPr>
          <w:rFonts w:hint="default"/>
          <w:sz w:val="21"/>
          <w:szCs w:val="18"/>
        </w:rPr>
        <w:t>34.1工程竣工验收报告经甲方认可后30天内，乙方向甲方递交竣工结算报告及完整的结算资料，本合同及《补充协议》作为工程竣工结算依据，进行工程竣工结算。</w:t>
      </w:r>
    </w:p>
    <w:p w14:paraId="60D9A479">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34.2甲方收到乙方递交的竣工结算报告及结算资料后30天内进行核实，给予确认或者提出修改意见。 </w:t>
      </w:r>
    </w:p>
    <w:p w14:paraId="66E1B781">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34.3工程竣工验收报告经甲方认可后28天内，乙方未能向甲方递交竣工结算报告及完整的结算资料，甲方将停止支付工程款。 </w:t>
      </w:r>
    </w:p>
    <w:p w14:paraId="5BC3FBEB">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34.4甲方乙方对工程竣工结算价款发生争议时，按本通用条款第37条关于争议的约定处理。 </w:t>
      </w:r>
    </w:p>
    <w:p w14:paraId="06A7277F">
      <w:pPr>
        <w:pStyle w:val="101"/>
      </w:pPr>
      <w:bookmarkStart w:id="360" w:name="_Toc534295067"/>
      <w:bookmarkStart w:id="361" w:name="_Toc152766715"/>
      <w:bookmarkStart w:id="362" w:name="_Toc534294952"/>
      <w:bookmarkStart w:id="363" w:name="_Toc5971582"/>
      <w:bookmarkStart w:id="364" w:name="_Toc534294801"/>
      <w:bookmarkStart w:id="365" w:name="_Toc534298631"/>
      <w:bookmarkStart w:id="366" w:name="_Toc534298867"/>
      <w:bookmarkStart w:id="367" w:name="_Toc534294329"/>
      <w:r>
        <w:t>35、合同工程接收</w:t>
      </w:r>
      <w:bookmarkEnd w:id="360"/>
      <w:bookmarkEnd w:id="361"/>
      <w:bookmarkEnd w:id="362"/>
      <w:bookmarkEnd w:id="363"/>
      <w:bookmarkEnd w:id="364"/>
      <w:bookmarkEnd w:id="365"/>
      <w:bookmarkEnd w:id="366"/>
      <w:bookmarkEnd w:id="367"/>
    </w:p>
    <w:p w14:paraId="282E2030">
      <w:pPr>
        <w:pStyle w:val="20"/>
        <w:adjustRightInd w:val="0"/>
        <w:snapToGrid w:val="0"/>
        <w:spacing w:before="0" w:beforeAutospacing="0" w:after="0" w:afterAutospacing="0"/>
        <w:rPr>
          <w:rFonts w:hint="default"/>
          <w:sz w:val="21"/>
          <w:szCs w:val="18"/>
        </w:rPr>
      </w:pPr>
      <w:r>
        <w:rPr>
          <w:rFonts w:hint="default"/>
          <w:sz w:val="21"/>
          <w:szCs w:val="18"/>
        </w:rPr>
        <w:t xml:space="preserve">    合同工程</w:t>
      </w:r>
      <w:r>
        <w:rPr>
          <w:sz w:val="21"/>
          <w:szCs w:val="18"/>
        </w:rPr>
        <w:t>经竣工验收合格</w:t>
      </w:r>
      <w:r>
        <w:rPr>
          <w:rFonts w:hint="default"/>
          <w:sz w:val="21"/>
          <w:szCs w:val="18"/>
        </w:rPr>
        <w:t>无</w:t>
      </w:r>
      <w:r>
        <w:rPr>
          <w:sz w:val="21"/>
          <w:szCs w:val="18"/>
        </w:rPr>
        <w:t>任何质量</w:t>
      </w:r>
      <w:r>
        <w:rPr>
          <w:rFonts w:hint="default"/>
          <w:sz w:val="21"/>
          <w:szCs w:val="18"/>
        </w:rPr>
        <w:t>问题</w:t>
      </w:r>
      <w:r>
        <w:rPr>
          <w:sz w:val="21"/>
          <w:szCs w:val="18"/>
        </w:rPr>
        <w:t>后</w:t>
      </w:r>
      <w:r>
        <w:rPr>
          <w:rFonts w:hint="default"/>
          <w:sz w:val="21"/>
          <w:szCs w:val="18"/>
        </w:rPr>
        <w:t>，由双方签定合同工程的《接收证书》，合同工程进入质量保修期。</w:t>
      </w:r>
    </w:p>
    <w:p w14:paraId="7C3FA2ED">
      <w:pPr>
        <w:pStyle w:val="101"/>
      </w:pPr>
      <w:bookmarkStart w:id="368" w:name="_Toc534298632"/>
      <w:bookmarkStart w:id="369" w:name="_Toc5971583"/>
      <w:bookmarkStart w:id="370" w:name="_Toc534295068"/>
      <w:bookmarkStart w:id="371" w:name="_Toc534294953"/>
      <w:bookmarkStart w:id="372" w:name="_Toc534294330"/>
      <w:bookmarkStart w:id="373" w:name="_Toc152766716"/>
      <w:bookmarkStart w:id="374" w:name="_Toc534294802"/>
      <w:bookmarkStart w:id="375" w:name="_Toc534298868"/>
      <w:r>
        <w:t>36、质量保修</w:t>
      </w:r>
      <w:bookmarkEnd w:id="368"/>
      <w:bookmarkEnd w:id="369"/>
      <w:bookmarkEnd w:id="370"/>
      <w:bookmarkEnd w:id="371"/>
      <w:bookmarkEnd w:id="372"/>
      <w:bookmarkEnd w:id="373"/>
      <w:bookmarkEnd w:id="374"/>
      <w:bookmarkEnd w:id="375"/>
      <w:r>
        <w:t xml:space="preserve"> </w:t>
      </w:r>
    </w:p>
    <w:p w14:paraId="29B0A829">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36.1乙方应按法律、行政法规或国家关于工程质量保修的有关规定，对交付甲方使用的工程在质量保修期内承担质量保修责任。 </w:t>
      </w:r>
    </w:p>
    <w:p w14:paraId="56DA3EBD">
      <w:pPr>
        <w:pStyle w:val="20"/>
        <w:adjustRightInd w:val="0"/>
        <w:snapToGrid w:val="0"/>
        <w:spacing w:before="0" w:beforeAutospacing="0" w:after="0" w:afterAutospacing="0"/>
        <w:ind w:firstLine="480"/>
        <w:rPr>
          <w:rFonts w:hint="default"/>
          <w:sz w:val="21"/>
          <w:szCs w:val="18"/>
        </w:rPr>
      </w:pPr>
      <w:r>
        <w:rPr>
          <w:rFonts w:hint="default"/>
          <w:sz w:val="21"/>
          <w:szCs w:val="18"/>
        </w:rPr>
        <w:t>36.2乙方应在合同工程接收之前，与甲方签订质量保修书，作为本合同执行文件，质量保修书试样见附件</w:t>
      </w:r>
      <w:r>
        <w:rPr>
          <w:sz w:val="21"/>
          <w:szCs w:val="18"/>
        </w:rPr>
        <w:t>4</w:t>
      </w:r>
      <w:r>
        <w:rPr>
          <w:rFonts w:hint="default"/>
          <w:sz w:val="21"/>
          <w:szCs w:val="18"/>
        </w:rPr>
        <w:t>。质量保修期开始的时间为双方签定合同工程的《接收证书》。</w:t>
      </w:r>
    </w:p>
    <w:p w14:paraId="339C0B02">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36.3质量保修书的主要内容包括： </w:t>
      </w:r>
    </w:p>
    <w:p w14:paraId="0B0CD0D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1）质量保修项目内容及范围； </w:t>
      </w:r>
    </w:p>
    <w:p w14:paraId="520237D6">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2）质量保修期； </w:t>
      </w:r>
    </w:p>
    <w:p w14:paraId="45E388D1">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3）质量保修责任； </w:t>
      </w:r>
    </w:p>
    <w:p w14:paraId="7E389ED2">
      <w:pPr>
        <w:pStyle w:val="20"/>
        <w:adjustRightInd w:val="0"/>
        <w:snapToGrid w:val="0"/>
        <w:spacing w:before="0" w:beforeAutospacing="0" w:after="0" w:afterAutospacing="0"/>
        <w:rPr>
          <w:rFonts w:hint="default"/>
          <w:sz w:val="21"/>
          <w:szCs w:val="18"/>
        </w:rPr>
      </w:pPr>
      <w:r>
        <w:rPr>
          <w:sz w:val="21"/>
          <w:szCs w:val="18"/>
        </w:rPr>
        <w:t>　　（</w:t>
      </w:r>
      <w:r>
        <w:rPr>
          <w:rFonts w:hint="default"/>
          <w:sz w:val="21"/>
          <w:szCs w:val="18"/>
        </w:rPr>
        <w:t xml:space="preserve">4）质量质保金的支付方法。 </w:t>
      </w:r>
    </w:p>
    <w:p w14:paraId="6FDCC019">
      <w:pPr>
        <w:pStyle w:val="2"/>
        <w:spacing w:before="60" w:after="60"/>
        <w:jc w:val="left"/>
        <w:rPr>
          <w:sz w:val="28"/>
          <w:szCs w:val="28"/>
        </w:rPr>
      </w:pPr>
      <w:bookmarkStart w:id="376" w:name="_Toc152766717"/>
      <w:bookmarkStart w:id="377" w:name="_Toc534294803"/>
      <w:bookmarkStart w:id="378" w:name="_Toc534298869"/>
      <w:bookmarkStart w:id="379" w:name="_Toc534295069"/>
      <w:bookmarkStart w:id="380" w:name="_Toc534294331"/>
      <w:bookmarkStart w:id="381" w:name="_Toc534294954"/>
      <w:bookmarkStart w:id="382" w:name="_Toc534298633"/>
      <w:r>
        <w:rPr>
          <w:sz w:val="28"/>
          <w:szCs w:val="28"/>
        </w:rPr>
        <w:t>十、违约和解除合同</w:t>
      </w:r>
      <w:bookmarkEnd w:id="376"/>
      <w:bookmarkEnd w:id="377"/>
      <w:bookmarkEnd w:id="378"/>
      <w:bookmarkEnd w:id="379"/>
      <w:bookmarkEnd w:id="380"/>
      <w:bookmarkEnd w:id="381"/>
      <w:bookmarkEnd w:id="382"/>
      <w:r>
        <w:rPr>
          <w:sz w:val="28"/>
          <w:szCs w:val="28"/>
        </w:rPr>
        <w:t xml:space="preserve"> </w:t>
      </w:r>
    </w:p>
    <w:p w14:paraId="77616520">
      <w:pPr>
        <w:pStyle w:val="101"/>
      </w:pPr>
      <w:bookmarkStart w:id="383" w:name="_Toc5971585"/>
      <w:bookmarkStart w:id="384" w:name="_Toc534298634"/>
      <w:bookmarkStart w:id="385" w:name="_Toc534298870"/>
      <w:bookmarkStart w:id="386" w:name="_Toc534295070"/>
      <w:bookmarkStart w:id="387" w:name="_Toc152766718"/>
      <w:bookmarkStart w:id="388" w:name="_Toc534294955"/>
      <w:bookmarkStart w:id="389" w:name="_Toc534294804"/>
      <w:bookmarkStart w:id="390" w:name="_Toc534294332"/>
      <w:r>
        <w:t>37、违约和解除（或终止）合同</w:t>
      </w:r>
      <w:bookmarkEnd w:id="383"/>
      <w:bookmarkEnd w:id="384"/>
      <w:bookmarkEnd w:id="385"/>
      <w:bookmarkEnd w:id="386"/>
      <w:bookmarkEnd w:id="387"/>
      <w:bookmarkEnd w:id="388"/>
      <w:bookmarkEnd w:id="389"/>
      <w:bookmarkEnd w:id="390"/>
    </w:p>
    <w:p w14:paraId="58D4E0FF">
      <w:pPr>
        <w:pStyle w:val="20"/>
        <w:adjustRightInd w:val="0"/>
        <w:snapToGrid w:val="0"/>
        <w:spacing w:before="0" w:beforeAutospacing="0" w:after="0" w:afterAutospacing="0"/>
        <w:ind w:firstLine="480"/>
        <w:rPr>
          <w:rFonts w:hint="default"/>
          <w:sz w:val="21"/>
          <w:szCs w:val="18"/>
        </w:rPr>
      </w:pPr>
      <w:r>
        <w:rPr>
          <w:rFonts w:hint="default"/>
          <w:sz w:val="21"/>
          <w:szCs w:val="18"/>
        </w:rPr>
        <w:t>37.1 本合同由甲乙双方共同遵守，任何一方未按本合同条款规定履行责任，则可视为违约，并承担相应的违约责任。</w:t>
      </w:r>
    </w:p>
    <w:p w14:paraId="29F06FA2">
      <w:pPr>
        <w:pStyle w:val="20"/>
        <w:adjustRightInd w:val="0"/>
        <w:snapToGrid w:val="0"/>
        <w:spacing w:before="0" w:beforeAutospacing="0" w:after="0" w:afterAutospacing="0"/>
        <w:ind w:firstLine="480"/>
        <w:rPr>
          <w:rFonts w:hint="default"/>
          <w:sz w:val="21"/>
          <w:szCs w:val="18"/>
        </w:rPr>
      </w:pPr>
      <w:r>
        <w:rPr>
          <w:rFonts w:hint="default"/>
          <w:sz w:val="21"/>
          <w:szCs w:val="18"/>
        </w:rPr>
        <w:t>37.2本合同签订后，未经双方协商同意，任何一方不得随意变更和解除（或终止），否则应承担对方因合同变更或解除造成的直接经济损失。</w:t>
      </w:r>
    </w:p>
    <w:p w14:paraId="167FF007">
      <w:pPr>
        <w:pStyle w:val="20"/>
        <w:adjustRightInd w:val="0"/>
        <w:snapToGrid w:val="0"/>
        <w:spacing w:before="0" w:beforeAutospacing="0" w:after="0" w:afterAutospacing="0"/>
        <w:ind w:firstLine="480"/>
        <w:rPr>
          <w:rFonts w:hint="default"/>
          <w:sz w:val="21"/>
          <w:szCs w:val="18"/>
        </w:rPr>
      </w:pPr>
      <w:r>
        <w:rPr>
          <w:rFonts w:hint="default"/>
          <w:sz w:val="21"/>
          <w:szCs w:val="18"/>
        </w:rPr>
        <w:t>37.3 如果有如下情况之一，甲方因乙方的原因可单方面终止合同：</w:t>
      </w:r>
    </w:p>
    <w:p w14:paraId="09F1886C">
      <w:pPr>
        <w:pStyle w:val="20"/>
        <w:numPr>
          <w:ilvl w:val="0"/>
          <w:numId w:val="2"/>
        </w:numPr>
        <w:adjustRightInd w:val="0"/>
        <w:snapToGrid w:val="0"/>
        <w:spacing w:before="0" w:beforeAutospacing="0" w:after="0" w:afterAutospacing="0"/>
        <w:rPr>
          <w:rFonts w:hint="default"/>
          <w:sz w:val="21"/>
          <w:szCs w:val="18"/>
        </w:rPr>
      </w:pPr>
      <w:r>
        <w:rPr>
          <w:sz w:val="21"/>
          <w:szCs w:val="18"/>
        </w:rPr>
        <w:t>乙方有合同工程的转、分包行为；</w:t>
      </w:r>
    </w:p>
    <w:p w14:paraId="07790886">
      <w:pPr>
        <w:pStyle w:val="20"/>
        <w:numPr>
          <w:ilvl w:val="0"/>
          <w:numId w:val="2"/>
        </w:numPr>
        <w:adjustRightInd w:val="0"/>
        <w:snapToGrid w:val="0"/>
        <w:spacing w:before="0" w:beforeAutospacing="0" w:after="0" w:afterAutospacing="0"/>
        <w:rPr>
          <w:rFonts w:hint="default"/>
          <w:sz w:val="21"/>
          <w:szCs w:val="18"/>
        </w:rPr>
      </w:pPr>
      <w:r>
        <w:rPr>
          <w:sz w:val="21"/>
          <w:szCs w:val="18"/>
        </w:rPr>
        <w:t>乙方在施工过程中有严重的质量事故；</w:t>
      </w:r>
    </w:p>
    <w:p w14:paraId="61D238DF">
      <w:pPr>
        <w:pStyle w:val="20"/>
        <w:numPr>
          <w:ilvl w:val="0"/>
          <w:numId w:val="2"/>
        </w:numPr>
        <w:adjustRightInd w:val="0"/>
        <w:snapToGrid w:val="0"/>
        <w:spacing w:before="0" w:beforeAutospacing="0" w:after="0" w:afterAutospacing="0"/>
        <w:rPr>
          <w:rFonts w:hint="default"/>
          <w:sz w:val="21"/>
          <w:szCs w:val="18"/>
        </w:rPr>
      </w:pPr>
      <w:r>
        <w:rPr>
          <w:sz w:val="21"/>
          <w:szCs w:val="18"/>
        </w:rPr>
        <w:t>乙方的施工进度明显落后，且没有有效的改进措施和行动；</w:t>
      </w:r>
    </w:p>
    <w:p w14:paraId="67515F84">
      <w:pPr>
        <w:pStyle w:val="20"/>
        <w:numPr>
          <w:ilvl w:val="0"/>
          <w:numId w:val="2"/>
        </w:numPr>
        <w:adjustRightInd w:val="0"/>
        <w:snapToGrid w:val="0"/>
        <w:spacing w:before="0" w:beforeAutospacing="0" w:after="0" w:afterAutospacing="0"/>
        <w:rPr>
          <w:rFonts w:hint="default"/>
          <w:sz w:val="21"/>
          <w:szCs w:val="18"/>
        </w:rPr>
      </w:pPr>
      <w:r>
        <w:rPr>
          <w:sz w:val="21"/>
          <w:szCs w:val="18"/>
        </w:rPr>
        <w:t>乙方在施工建设中不遵守执行国家、省市地区以及甲方关于施工工期间安全、文明施工管理规定，且没有有效的改进措施和行动。</w:t>
      </w:r>
    </w:p>
    <w:p w14:paraId="2F79A133">
      <w:pPr>
        <w:pStyle w:val="20"/>
        <w:numPr>
          <w:ilvl w:val="0"/>
          <w:numId w:val="2"/>
        </w:numPr>
        <w:adjustRightInd w:val="0"/>
        <w:snapToGrid w:val="0"/>
        <w:spacing w:before="0" w:beforeAutospacing="0" w:after="0" w:afterAutospacing="0"/>
        <w:rPr>
          <w:rFonts w:hint="default"/>
          <w:sz w:val="21"/>
          <w:szCs w:val="18"/>
        </w:rPr>
      </w:pPr>
      <w:r>
        <w:rPr>
          <w:sz w:val="21"/>
          <w:szCs w:val="18"/>
        </w:rPr>
        <w:t>乙方不遵守甲方在施工建设中统一管理，不执行项目管理制度。</w:t>
      </w:r>
    </w:p>
    <w:p w14:paraId="4A49457B">
      <w:pPr>
        <w:pStyle w:val="20"/>
        <w:adjustRightInd w:val="0"/>
        <w:snapToGrid w:val="0"/>
        <w:spacing w:before="0" w:beforeAutospacing="0" w:after="0" w:afterAutospacing="0"/>
        <w:rPr>
          <w:rFonts w:hint="default"/>
          <w:sz w:val="21"/>
          <w:szCs w:val="18"/>
        </w:rPr>
      </w:pPr>
      <w:r>
        <w:rPr>
          <w:sz w:val="21"/>
          <w:szCs w:val="18"/>
        </w:rPr>
        <w:t>　　甲方终止合同须书面通知乙方，甲方不承担乙方任何因此造成的经济损失，乙方须对甲方承担违约责任，具体见本合同《专用条款》。　</w:t>
      </w:r>
    </w:p>
    <w:p w14:paraId="048D97D3">
      <w:pPr>
        <w:pStyle w:val="2"/>
        <w:spacing w:before="60" w:after="60"/>
        <w:jc w:val="left"/>
        <w:rPr>
          <w:sz w:val="28"/>
          <w:szCs w:val="28"/>
        </w:rPr>
      </w:pPr>
      <w:bookmarkStart w:id="391" w:name="_Toc534298871"/>
      <w:bookmarkStart w:id="392" w:name="_Toc534294956"/>
      <w:bookmarkStart w:id="393" w:name="_Toc534295071"/>
      <w:bookmarkStart w:id="394" w:name="_Toc534294333"/>
      <w:bookmarkStart w:id="395" w:name="_Toc534294805"/>
      <w:bookmarkStart w:id="396" w:name="_Toc534298635"/>
      <w:bookmarkStart w:id="397" w:name="_Toc152766719"/>
      <w:r>
        <w:rPr>
          <w:sz w:val="28"/>
          <w:szCs w:val="28"/>
        </w:rPr>
        <w:t>十一  违约</w:t>
      </w:r>
      <w:bookmarkEnd w:id="391"/>
      <w:bookmarkEnd w:id="392"/>
      <w:bookmarkEnd w:id="393"/>
      <w:bookmarkEnd w:id="394"/>
      <w:bookmarkEnd w:id="395"/>
      <w:bookmarkEnd w:id="396"/>
      <w:r>
        <w:rPr>
          <w:rFonts w:hint="eastAsia"/>
          <w:sz w:val="28"/>
          <w:szCs w:val="28"/>
        </w:rPr>
        <w:t>责任</w:t>
      </w:r>
      <w:bookmarkEnd w:id="397"/>
    </w:p>
    <w:p w14:paraId="6D529857">
      <w:pPr>
        <w:pStyle w:val="20"/>
        <w:adjustRightInd w:val="0"/>
        <w:snapToGrid w:val="0"/>
        <w:spacing w:before="0" w:beforeAutospacing="0" w:after="0" w:afterAutospacing="0"/>
        <w:rPr>
          <w:rFonts w:hint="default"/>
          <w:sz w:val="21"/>
          <w:szCs w:val="18"/>
        </w:rPr>
      </w:pPr>
      <w:r>
        <w:rPr>
          <w:rFonts w:hint="default"/>
          <w:sz w:val="21"/>
          <w:szCs w:val="18"/>
        </w:rPr>
        <w:t xml:space="preserve">    合同工程的违约赔偿见本合同《专用条款》。</w:t>
      </w:r>
    </w:p>
    <w:p w14:paraId="3501B009">
      <w:pPr>
        <w:pStyle w:val="2"/>
        <w:spacing w:before="60" w:after="60"/>
        <w:jc w:val="left"/>
        <w:rPr>
          <w:sz w:val="28"/>
          <w:szCs w:val="28"/>
        </w:rPr>
      </w:pPr>
      <w:bookmarkStart w:id="398" w:name="_Toc534294806"/>
      <w:bookmarkStart w:id="399" w:name="_Toc534294957"/>
      <w:bookmarkStart w:id="400" w:name="_Toc534295072"/>
      <w:bookmarkStart w:id="401" w:name="_Toc534294334"/>
      <w:bookmarkStart w:id="402" w:name="_Toc534298872"/>
      <w:bookmarkStart w:id="403" w:name="_Toc534298636"/>
      <w:bookmarkStart w:id="404" w:name="_Toc152766720"/>
      <w:r>
        <w:rPr>
          <w:sz w:val="28"/>
          <w:szCs w:val="28"/>
        </w:rPr>
        <w:t>十二、</w:t>
      </w:r>
      <w:bookmarkEnd w:id="398"/>
      <w:bookmarkEnd w:id="399"/>
      <w:bookmarkEnd w:id="400"/>
      <w:bookmarkEnd w:id="401"/>
      <w:bookmarkEnd w:id="402"/>
      <w:bookmarkEnd w:id="403"/>
      <w:r>
        <w:rPr>
          <w:rFonts w:hint="eastAsia"/>
          <w:sz w:val="28"/>
          <w:szCs w:val="28"/>
        </w:rPr>
        <w:t>争议解决方式</w:t>
      </w:r>
      <w:bookmarkEnd w:id="404"/>
    </w:p>
    <w:p w14:paraId="61372105">
      <w:pPr>
        <w:pStyle w:val="101"/>
      </w:pPr>
      <w:bookmarkStart w:id="405" w:name="_Toc534298637"/>
      <w:bookmarkStart w:id="406" w:name="_Toc534294335"/>
      <w:bookmarkStart w:id="407" w:name="_Toc534294958"/>
      <w:bookmarkStart w:id="408" w:name="_Toc534294807"/>
      <w:bookmarkStart w:id="409" w:name="_Toc534298873"/>
      <w:bookmarkStart w:id="410" w:name="_Toc534295073"/>
      <w:bookmarkStart w:id="411" w:name="_Toc152766721"/>
      <w:bookmarkStart w:id="412" w:name="_Toc5971588"/>
      <w:r>
        <w:t>38、</w:t>
      </w:r>
      <w:bookmarkEnd w:id="405"/>
      <w:bookmarkEnd w:id="406"/>
      <w:bookmarkEnd w:id="407"/>
      <w:bookmarkEnd w:id="408"/>
      <w:bookmarkEnd w:id="409"/>
      <w:bookmarkEnd w:id="410"/>
      <w:r>
        <w:rPr>
          <w:rFonts w:hint="eastAsia"/>
        </w:rPr>
        <w:t>争议解决方式</w:t>
      </w:r>
      <w:bookmarkEnd w:id="411"/>
      <w:bookmarkEnd w:id="412"/>
      <w:r>
        <w:t xml:space="preserve"> </w:t>
      </w:r>
    </w:p>
    <w:p w14:paraId="28D67C6F">
      <w:pPr>
        <w:pStyle w:val="20"/>
        <w:adjustRightInd w:val="0"/>
        <w:snapToGrid w:val="0"/>
        <w:spacing w:before="0" w:beforeAutospacing="0" w:after="0" w:afterAutospacing="0"/>
        <w:rPr>
          <w:rFonts w:hint="default"/>
          <w:sz w:val="21"/>
          <w:szCs w:val="18"/>
        </w:rPr>
      </w:pPr>
      <w:r>
        <w:rPr>
          <w:sz w:val="21"/>
          <w:szCs w:val="18"/>
        </w:rPr>
        <w:t>　　甲乙双方在合同履行过程中若发生争议时，双方应积极努力协商，协商不成可向甲方所在地人民法院提起诉讼。</w:t>
      </w:r>
    </w:p>
    <w:p w14:paraId="3BAACE19">
      <w:pPr>
        <w:pStyle w:val="2"/>
        <w:spacing w:before="60" w:after="60"/>
        <w:jc w:val="left"/>
        <w:rPr>
          <w:sz w:val="28"/>
          <w:szCs w:val="28"/>
        </w:rPr>
      </w:pPr>
      <w:bookmarkStart w:id="413" w:name="_Toc534294808"/>
      <w:bookmarkStart w:id="414" w:name="_Toc534294336"/>
      <w:bookmarkStart w:id="415" w:name="_Toc534298874"/>
      <w:bookmarkStart w:id="416" w:name="_Toc152766722"/>
      <w:bookmarkStart w:id="417" w:name="_Toc534298638"/>
      <w:bookmarkStart w:id="418" w:name="_Toc534295074"/>
      <w:bookmarkStart w:id="419" w:name="_Toc534294959"/>
      <w:r>
        <w:rPr>
          <w:sz w:val="28"/>
          <w:szCs w:val="28"/>
        </w:rPr>
        <w:t>十三、其他</w:t>
      </w:r>
      <w:bookmarkEnd w:id="413"/>
      <w:bookmarkEnd w:id="414"/>
      <w:bookmarkEnd w:id="415"/>
      <w:bookmarkEnd w:id="416"/>
      <w:bookmarkEnd w:id="417"/>
      <w:bookmarkEnd w:id="418"/>
      <w:bookmarkEnd w:id="419"/>
      <w:r>
        <w:rPr>
          <w:sz w:val="28"/>
          <w:szCs w:val="28"/>
        </w:rPr>
        <w:t xml:space="preserve"> </w:t>
      </w:r>
    </w:p>
    <w:p w14:paraId="2AC77C31">
      <w:pPr>
        <w:pStyle w:val="101"/>
      </w:pPr>
      <w:bookmarkStart w:id="420" w:name="_Toc534298639"/>
      <w:bookmarkStart w:id="421" w:name="_Toc534294337"/>
      <w:bookmarkStart w:id="422" w:name="_Toc534298875"/>
      <w:bookmarkStart w:id="423" w:name="_Toc534295075"/>
      <w:bookmarkStart w:id="424" w:name="_Toc534294809"/>
      <w:bookmarkStart w:id="425" w:name="_Toc5971590"/>
      <w:bookmarkStart w:id="426" w:name="_Toc534294960"/>
      <w:bookmarkStart w:id="427" w:name="_Toc152766723"/>
      <w:r>
        <w:t>39、工程转、分包</w:t>
      </w:r>
      <w:bookmarkEnd w:id="420"/>
      <w:bookmarkEnd w:id="421"/>
      <w:bookmarkEnd w:id="422"/>
      <w:bookmarkEnd w:id="423"/>
      <w:bookmarkEnd w:id="424"/>
      <w:bookmarkEnd w:id="425"/>
      <w:bookmarkEnd w:id="426"/>
      <w:bookmarkEnd w:id="427"/>
      <w:r>
        <w:t xml:space="preserve"> </w:t>
      </w:r>
    </w:p>
    <w:p w14:paraId="1E4FDE59">
      <w:pPr>
        <w:pStyle w:val="20"/>
        <w:adjustRightInd w:val="0"/>
        <w:snapToGrid w:val="0"/>
        <w:spacing w:before="0" w:beforeAutospacing="0" w:after="0" w:afterAutospacing="0"/>
        <w:rPr>
          <w:rFonts w:hint="default"/>
          <w:sz w:val="21"/>
          <w:szCs w:val="18"/>
        </w:rPr>
      </w:pPr>
      <w:r>
        <w:rPr>
          <w:sz w:val="21"/>
          <w:szCs w:val="18"/>
        </w:rPr>
        <w:t>　　未经甲方同意，乙方不得将承包工程转包或将工程的任何部分分包。如发生，甲方有权终止合同，乙方须对甲方进行赔偿，具体见本合同《专用条款》。</w:t>
      </w:r>
    </w:p>
    <w:p w14:paraId="1A8083C0">
      <w:pPr>
        <w:pStyle w:val="101"/>
      </w:pPr>
      <w:bookmarkStart w:id="428" w:name="_Toc534295076"/>
      <w:bookmarkStart w:id="429" w:name="_Toc534294961"/>
      <w:bookmarkStart w:id="430" w:name="_Toc534298876"/>
      <w:bookmarkStart w:id="431" w:name="_Toc534298640"/>
      <w:bookmarkStart w:id="432" w:name="_Toc534294338"/>
      <w:bookmarkStart w:id="433" w:name="_Toc5971591"/>
      <w:bookmarkStart w:id="434" w:name="_Toc534294810"/>
      <w:bookmarkStart w:id="435" w:name="_Toc152766724"/>
      <w:r>
        <w:t>40、不可抗力</w:t>
      </w:r>
      <w:bookmarkEnd w:id="428"/>
      <w:bookmarkEnd w:id="429"/>
      <w:bookmarkEnd w:id="430"/>
      <w:bookmarkEnd w:id="431"/>
      <w:bookmarkEnd w:id="432"/>
      <w:bookmarkEnd w:id="433"/>
      <w:bookmarkEnd w:id="434"/>
      <w:bookmarkEnd w:id="435"/>
      <w:r>
        <w:t xml:space="preserve"> </w:t>
      </w:r>
    </w:p>
    <w:p w14:paraId="270523D2">
      <w:pPr>
        <w:pStyle w:val="20"/>
        <w:adjustRightInd w:val="0"/>
        <w:snapToGrid w:val="0"/>
        <w:spacing w:before="0" w:beforeAutospacing="0" w:after="0" w:afterAutospacing="0"/>
        <w:ind w:firstLine="315" w:firstLineChars="150"/>
        <w:rPr>
          <w:rFonts w:hint="default"/>
          <w:sz w:val="21"/>
          <w:szCs w:val="18"/>
        </w:rPr>
      </w:pPr>
      <w:r>
        <w:rPr>
          <w:rFonts w:hint="default"/>
          <w:sz w:val="21"/>
          <w:szCs w:val="18"/>
        </w:rPr>
        <w:t xml:space="preserve"> </w:t>
      </w:r>
      <w:bookmarkStart w:id="436" w:name="_Toc534764952"/>
      <w:bookmarkStart w:id="437" w:name="_Toc534765116"/>
      <w:bookmarkStart w:id="438" w:name="_Toc534765286"/>
      <w:r>
        <w:rPr>
          <w:sz w:val="21"/>
          <w:szCs w:val="18"/>
        </w:rPr>
        <w:t>40.1 本合同中的“不可抗力”一词系指超出分包人或承包人双方无法合理控制的且在签订合同时无法预料到的也无法避免的不可归责于双方的事件或情况，并且阻碍任一方完全或部分履行合同项下的责任或义务。对于因不可抗力事件造成延迟履行或无法履行合同的义务，任一方都不用负责任。</w:t>
      </w:r>
      <w:bookmarkEnd w:id="436"/>
      <w:bookmarkEnd w:id="437"/>
      <w:bookmarkEnd w:id="438"/>
    </w:p>
    <w:p w14:paraId="366C56C0">
      <w:pPr>
        <w:pStyle w:val="20"/>
        <w:adjustRightInd w:val="0"/>
        <w:snapToGrid w:val="0"/>
        <w:spacing w:before="0" w:beforeAutospacing="0" w:after="0" w:afterAutospacing="0"/>
        <w:ind w:firstLine="480"/>
        <w:rPr>
          <w:rFonts w:hint="default"/>
          <w:sz w:val="21"/>
          <w:szCs w:val="18"/>
        </w:rPr>
      </w:pPr>
      <w:bookmarkStart w:id="439" w:name="_Toc534765117"/>
      <w:bookmarkStart w:id="440" w:name="_Toc534765287"/>
      <w:bookmarkStart w:id="441" w:name="_Toc534764953"/>
      <w:r>
        <w:rPr>
          <w:sz w:val="21"/>
          <w:szCs w:val="18"/>
        </w:rPr>
        <w:t>40.2 根据上述第40.1条款，不可抗力应包括但不限于：</w:t>
      </w:r>
      <w:bookmarkEnd w:id="439"/>
      <w:bookmarkEnd w:id="440"/>
      <w:bookmarkEnd w:id="441"/>
    </w:p>
    <w:p w14:paraId="56D5C414">
      <w:pPr>
        <w:pStyle w:val="20"/>
        <w:adjustRightInd w:val="0"/>
        <w:snapToGrid w:val="0"/>
        <w:spacing w:before="0" w:beforeAutospacing="0" w:after="0" w:afterAutospacing="0"/>
        <w:ind w:firstLine="480"/>
        <w:rPr>
          <w:rFonts w:hint="default"/>
          <w:sz w:val="21"/>
          <w:szCs w:val="18"/>
        </w:rPr>
      </w:pPr>
      <w:r>
        <w:rPr>
          <w:sz w:val="21"/>
          <w:szCs w:val="18"/>
        </w:rPr>
        <w:t>40.2.1战争、敌对行动（不论宣战与否）、入侵、外敌行为、叛乱、恐怖主义、革命、暴动、军事政变、篡夺政权、内战、分包人雇员和分包商雇员以外的人员的骚动、喧闹、混乱、罢工或停工。</w:t>
      </w:r>
    </w:p>
    <w:p w14:paraId="0DEDC487">
      <w:pPr>
        <w:pStyle w:val="20"/>
        <w:adjustRightInd w:val="0"/>
        <w:snapToGrid w:val="0"/>
        <w:spacing w:before="0" w:beforeAutospacing="0" w:after="0" w:afterAutospacing="0"/>
        <w:ind w:firstLine="480"/>
        <w:rPr>
          <w:rFonts w:hint="default"/>
          <w:sz w:val="21"/>
          <w:szCs w:val="18"/>
        </w:rPr>
      </w:pPr>
      <w:r>
        <w:rPr>
          <w:sz w:val="21"/>
          <w:szCs w:val="18"/>
        </w:rPr>
        <w:t>40.2.2未经授权使用战争军火、爆炸物资、电离辐射或放射性污染，但可能因分包人使用此类军火、炸药、放射性物质引起的除外。</w:t>
      </w:r>
    </w:p>
    <w:p w14:paraId="025C964D">
      <w:pPr>
        <w:pStyle w:val="20"/>
        <w:adjustRightInd w:val="0"/>
        <w:snapToGrid w:val="0"/>
        <w:spacing w:before="0" w:beforeAutospacing="0" w:after="0" w:afterAutospacing="0"/>
        <w:ind w:firstLine="480"/>
        <w:rPr>
          <w:rFonts w:hint="default"/>
          <w:sz w:val="21"/>
          <w:szCs w:val="18"/>
        </w:rPr>
      </w:pPr>
      <w:r>
        <w:rPr>
          <w:sz w:val="21"/>
          <w:szCs w:val="18"/>
        </w:rPr>
        <w:t>40.2.3自然灾害，如地震、飓风、台风、火山活动、天灾。</w:t>
      </w:r>
    </w:p>
    <w:p w14:paraId="732E1F11">
      <w:pPr>
        <w:pStyle w:val="20"/>
        <w:adjustRightInd w:val="0"/>
        <w:snapToGrid w:val="0"/>
        <w:spacing w:before="0" w:beforeAutospacing="0" w:after="0" w:afterAutospacing="0"/>
        <w:ind w:firstLine="480"/>
        <w:rPr>
          <w:rFonts w:hint="default"/>
          <w:sz w:val="21"/>
          <w:szCs w:val="18"/>
        </w:rPr>
      </w:pPr>
      <w:r>
        <w:rPr>
          <w:sz w:val="21"/>
          <w:szCs w:val="18"/>
        </w:rPr>
        <w:t>40.2.4 国家卫生当局强制性要求实行限制行动措施的传染性流行病（如SARS），乙方应采取各种可能的适当措施满足卫生部门的要求；</w:t>
      </w:r>
    </w:p>
    <w:p w14:paraId="050F74F8">
      <w:pPr>
        <w:pStyle w:val="20"/>
        <w:adjustRightInd w:val="0"/>
        <w:snapToGrid w:val="0"/>
        <w:spacing w:before="0" w:beforeAutospacing="0" w:after="0" w:afterAutospacing="0"/>
        <w:ind w:firstLine="480"/>
        <w:rPr>
          <w:rFonts w:hint="default"/>
          <w:sz w:val="21"/>
          <w:szCs w:val="18"/>
        </w:rPr>
      </w:pPr>
      <w:bookmarkStart w:id="442" w:name="_Toc534765288"/>
      <w:bookmarkStart w:id="443" w:name="_Toc534764954"/>
      <w:bookmarkStart w:id="444" w:name="_Toc534765118"/>
      <w:r>
        <w:rPr>
          <w:sz w:val="21"/>
          <w:szCs w:val="18"/>
        </w:rPr>
        <w:t>40.3 由上述定义的不可抗力导致的不履约或延误可作为甲方或乙方无法或延迟履约的理由。甲方应估计无法履约或延误时间和恢复在延误期间遭受的损坏所必须的时间，并按照合同的规定延长工期。</w:t>
      </w:r>
      <w:bookmarkEnd w:id="442"/>
      <w:bookmarkEnd w:id="443"/>
      <w:bookmarkEnd w:id="444"/>
    </w:p>
    <w:p w14:paraId="0B9B4F5D">
      <w:pPr>
        <w:pStyle w:val="20"/>
        <w:adjustRightInd w:val="0"/>
        <w:snapToGrid w:val="0"/>
        <w:spacing w:before="0" w:beforeAutospacing="0" w:after="0" w:afterAutospacing="0"/>
        <w:ind w:firstLine="480"/>
        <w:rPr>
          <w:rFonts w:hint="default"/>
          <w:sz w:val="21"/>
          <w:szCs w:val="18"/>
        </w:rPr>
      </w:pPr>
      <w:bookmarkStart w:id="445" w:name="_Toc534765289"/>
      <w:bookmarkStart w:id="446" w:name="_Toc534765119"/>
      <w:bookmarkStart w:id="447" w:name="_Toc534764955"/>
      <w:r>
        <w:rPr>
          <w:sz w:val="21"/>
          <w:szCs w:val="18"/>
        </w:rPr>
        <w:t>40.4 如果无法履约或延误的时间超过九十（90）天，且工程在任何情况下都无法复工，则双方应开会讨论进一步执行合同所必要的安排，并达成一致意见。如果无法达成一致意见，任一方在给对方三十（30）天的通知后可以终止此合同，但在此终止前不得损害双方的权利和义务。</w:t>
      </w:r>
      <w:bookmarkEnd w:id="445"/>
      <w:bookmarkEnd w:id="446"/>
      <w:bookmarkEnd w:id="447"/>
    </w:p>
    <w:p w14:paraId="1A84E740">
      <w:pPr>
        <w:pStyle w:val="20"/>
        <w:adjustRightInd w:val="0"/>
        <w:snapToGrid w:val="0"/>
        <w:spacing w:before="0" w:beforeAutospacing="0" w:after="0" w:afterAutospacing="0"/>
        <w:ind w:firstLine="480"/>
        <w:rPr>
          <w:rFonts w:hint="default"/>
          <w:sz w:val="21"/>
          <w:szCs w:val="18"/>
        </w:rPr>
      </w:pPr>
      <w:bookmarkStart w:id="448" w:name="_Toc534765290"/>
      <w:bookmarkStart w:id="449" w:name="_Toc534765120"/>
      <w:bookmarkStart w:id="450" w:name="_Toc534764956"/>
      <w:r>
        <w:rPr>
          <w:sz w:val="21"/>
          <w:szCs w:val="18"/>
        </w:rPr>
        <w:t>40.4 如果发生任何构成不可抗力的事件，受影响的一方应在此时间发生起十四（14）天内书面通知另一方，并写明原因。甲方和乙方应在其能力范围内采取一切必要的措施消除该起因和（或）影响。若因不可抗力受影响一方无法在不可抗力发生十四日内通知另一方，应当在可通知另一方之日起三日内通知。任何超过上述时间的通知不予考虑。</w:t>
      </w:r>
      <w:bookmarkEnd w:id="448"/>
      <w:bookmarkEnd w:id="449"/>
      <w:bookmarkEnd w:id="450"/>
    </w:p>
    <w:p w14:paraId="3DA01531">
      <w:pPr>
        <w:pStyle w:val="20"/>
        <w:adjustRightInd w:val="0"/>
        <w:snapToGrid w:val="0"/>
        <w:spacing w:before="0" w:beforeAutospacing="0" w:after="0" w:afterAutospacing="0"/>
        <w:ind w:firstLine="480"/>
        <w:rPr>
          <w:rFonts w:hint="default"/>
          <w:sz w:val="21"/>
          <w:szCs w:val="18"/>
        </w:rPr>
      </w:pPr>
      <w:bookmarkStart w:id="451" w:name="_Toc534765121"/>
      <w:bookmarkStart w:id="452" w:name="_Toc534764957"/>
      <w:bookmarkStart w:id="453" w:name="_Toc534765291"/>
      <w:r>
        <w:rPr>
          <w:sz w:val="21"/>
          <w:szCs w:val="18"/>
        </w:rPr>
        <w:t>40.5 因不可抗力事件导致的费用及延误的工期由双方按以下方法分别承担：</w:t>
      </w:r>
      <w:bookmarkEnd w:id="451"/>
      <w:bookmarkEnd w:id="452"/>
      <w:bookmarkEnd w:id="453"/>
    </w:p>
    <w:p w14:paraId="41F201D5">
      <w:pPr>
        <w:pStyle w:val="20"/>
        <w:adjustRightInd w:val="0"/>
        <w:snapToGrid w:val="0"/>
        <w:spacing w:before="0" w:beforeAutospacing="0" w:after="0" w:afterAutospacing="0"/>
        <w:ind w:firstLine="480"/>
        <w:rPr>
          <w:rFonts w:hint="default"/>
          <w:sz w:val="21"/>
          <w:szCs w:val="18"/>
        </w:rPr>
      </w:pPr>
      <w:r>
        <w:rPr>
          <w:sz w:val="21"/>
          <w:szCs w:val="18"/>
        </w:rPr>
        <w:t>40.5.1甲方、乙方人员伤亡由其所在单位负责，并承担相应费用；</w:t>
      </w:r>
    </w:p>
    <w:p w14:paraId="070A60F3">
      <w:pPr>
        <w:pStyle w:val="20"/>
        <w:adjustRightInd w:val="0"/>
        <w:snapToGrid w:val="0"/>
        <w:spacing w:before="0" w:beforeAutospacing="0" w:after="0" w:afterAutospacing="0"/>
        <w:ind w:firstLine="480"/>
        <w:rPr>
          <w:rFonts w:hint="default"/>
          <w:sz w:val="21"/>
          <w:szCs w:val="18"/>
        </w:rPr>
      </w:pPr>
      <w:r>
        <w:rPr>
          <w:sz w:val="21"/>
          <w:szCs w:val="18"/>
        </w:rPr>
        <w:t>40.5.2乙方机械设备损失，由乙方承担；</w:t>
      </w:r>
    </w:p>
    <w:p w14:paraId="381DF0C3">
      <w:pPr>
        <w:pStyle w:val="20"/>
        <w:adjustRightInd w:val="0"/>
        <w:snapToGrid w:val="0"/>
        <w:spacing w:before="0" w:beforeAutospacing="0" w:after="0" w:afterAutospacing="0"/>
        <w:ind w:firstLine="480"/>
        <w:rPr>
          <w:rFonts w:hint="default"/>
          <w:sz w:val="21"/>
          <w:szCs w:val="18"/>
        </w:rPr>
      </w:pPr>
      <w:r>
        <w:rPr>
          <w:sz w:val="21"/>
          <w:szCs w:val="18"/>
        </w:rPr>
        <w:t>40.5.3停工期间，乙方应甲方要求留在施工场地的必要的管理人员及保卫人员的费用由甲方承担；</w:t>
      </w:r>
    </w:p>
    <w:p w14:paraId="348AF862">
      <w:pPr>
        <w:pStyle w:val="20"/>
        <w:adjustRightInd w:val="0"/>
        <w:snapToGrid w:val="0"/>
        <w:spacing w:before="0" w:beforeAutospacing="0" w:after="0" w:afterAutospacing="0"/>
        <w:ind w:firstLine="480"/>
        <w:rPr>
          <w:rFonts w:hint="default"/>
          <w:sz w:val="21"/>
          <w:szCs w:val="18"/>
        </w:rPr>
      </w:pPr>
      <w:r>
        <w:rPr>
          <w:sz w:val="21"/>
          <w:szCs w:val="18"/>
        </w:rPr>
        <w:t>40.5.4工程所需清理、修复费用，由甲方承担；</w:t>
      </w:r>
    </w:p>
    <w:p w14:paraId="1412BCCF">
      <w:pPr>
        <w:pStyle w:val="20"/>
        <w:adjustRightInd w:val="0"/>
        <w:snapToGrid w:val="0"/>
        <w:spacing w:before="0" w:beforeAutospacing="0" w:after="0" w:afterAutospacing="0"/>
        <w:ind w:firstLine="480"/>
        <w:rPr>
          <w:rFonts w:hint="default"/>
          <w:sz w:val="21"/>
          <w:szCs w:val="18"/>
        </w:rPr>
      </w:pPr>
      <w:r>
        <w:rPr>
          <w:sz w:val="21"/>
          <w:szCs w:val="18"/>
        </w:rPr>
        <w:t>40.5.5延误的工期相应顺延。</w:t>
      </w:r>
      <w:bookmarkStart w:id="454" w:name="_Toc534765292"/>
      <w:bookmarkStart w:id="455" w:name="_Toc534764958"/>
      <w:bookmarkStart w:id="456" w:name="_Toc534765122"/>
    </w:p>
    <w:p w14:paraId="1F65DFCD">
      <w:pPr>
        <w:pStyle w:val="20"/>
        <w:adjustRightInd w:val="0"/>
        <w:snapToGrid w:val="0"/>
        <w:spacing w:before="0" w:beforeAutospacing="0" w:after="0" w:afterAutospacing="0"/>
        <w:ind w:firstLine="480"/>
        <w:rPr>
          <w:rFonts w:hint="default"/>
          <w:sz w:val="21"/>
          <w:szCs w:val="18"/>
        </w:rPr>
      </w:pPr>
      <w:r>
        <w:rPr>
          <w:sz w:val="21"/>
          <w:szCs w:val="18"/>
        </w:rPr>
        <w:t>40.6 因合同一方迟延履行合同后发生不可抗力的，不能免除迟延履行方的相应责任。</w:t>
      </w:r>
      <w:bookmarkEnd w:id="454"/>
      <w:bookmarkEnd w:id="455"/>
      <w:bookmarkEnd w:id="456"/>
    </w:p>
    <w:p w14:paraId="72B72276">
      <w:pPr>
        <w:pStyle w:val="101"/>
      </w:pPr>
      <w:bookmarkStart w:id="457" w:name="_Toc534295077"/>
      <w:bookmarkStart w:id="458" w:name="_Toc152766725"/>
      <w:bookmarkStart w:id="459" w:name="_Toc534298641"/>
      <w:bookmarkStart w:id="460" w:name="_Toc5971592"/>
      <w:bookmarkStart w:id="461" w:name="_Toc534294811"/>
      <w:bookmarkStart w:id="462" w:name="_Toc534294339"/>
      <w:bookmarkStart w:id="463" w:name="_Toc534294962"/>
      <w:bookmarkStart w:id="464" w:name="_Toc534298877"/>
      <w:r>
        <w:t>41、保险</w:t>
      </w:r>
      <w:bookmarkEnd w:id="457"/>
      <w:bookmarkEnd w:id="458"/>
      <w:bookmarkEnd w:id="459"/>
      <w:bookmarkEnd w:id="460"/>
      <w:bookmarkEnd w:id="461"/>
      <w:bookmarkEnd w:id="462"/>
      <w:bookmarkEnd w:id="463"/>
      <w:bookmarkEnd w:id="464"/>
      <w:r>
        <w:t xml:space="preserve"> </w:t>
      </w:r>
    </w:p>
    <w:p w14:paraId="52EC9FBC">
      <w:pPr>
        <w:pStyle w:val="20"/>
        <w:adjustRightInd w:val="0"/>
        <w:snapToGrid w:val="0"/>
        <w:spacing w:before="0" w:beforeAutospacing="0" w:after="0" w:afterAutospacing="0"/>
        <w:rPr>
          <w:rFonts w:hint="default"/>
          <w:sz w:val="21"/>
          <w:szCs w:val="18"/>
        </w:rPr>
      </w:pPr>
      <w:r>
        <w:rPr>
          <w:sz w:val="21"/>
          <w:szCs w:val="18"/>
        </w:rPr>
        <w:t>　　工程开工前，乙方自行为乙方从事危险作业的职工办理意外伤害保险，并为施工场地内自有人员生命财产和施工机械设备办理保险，支付保险费用。</w:t>
      </w:r>
      <w:r>
        <w:rPr>
          <w:rFonts w:hint="default"/>
          <w:sz w:val="21"/>
          <w:szCs w:val="18"/>
        </w:rPr>
        <w:t xml:space="preserve"> </w:t>
      </w:r>
    </w:p>
    <w:p w14:paraId="68D2E0FF">
      <w:pPr>
        <w:pStyle w:val="101"/>
      </w:pPr>
      <w:bookmarkStart w:id="465" w:name="_Toc534294963"/>
      <w:bookmarkStart w:id="466" w:name="_Toc534298878"/>
      <w:bookmarkStart w:id="467" w:name="_Toc152766726"/>
      <w:bookmarkStart w:id="468" w:name="_Toc534294812"/>
      <w:bookmarkStart w:id="469" w:name="_Toc534294340"/>
      <w:bookmarkStart w:id="470" w:name="_Toc5971593"/>
      <w:bookmarkStart w:id="471" w:name="_Toc534295078"/>
      <w:bookmarkStart w:id="472" w:name="_Toc534298642"/>
      <w:r>
        <w:t>42、担保</w:t>
      </w:r>
      <w:bookmarkEnd w:id="465"/>
      <w:bookmarkEnd w:id="466"/>
      <w:bookmarkEnd w:id="467"/>
      <w:bookmarkEnd w:id="468"/>
      <w:bookmarkEnd w:id="469"/>
      <w:bookmarkEnd w:id="470"/>
      <w:bookmarkEnd w:id="471"/>
      <w:bookmarkEnd w:id="472"/>
      <w:r>
        <w:t xml:space="preserve"> </w:t>
      </w:r>
    </w:p>
    <w:p w14:paraId="6D35DBFE">
      <w:pPr>
        <w:pStyle w:val="20"/>
        <w:adjustRightInd w:val="0"/>
        <w:snapToGrid w:val="0"/>
        <w:spacing w:before="0" w:beforeAutospacing="0" w:after="0" w:afterAutospacing="0"/>
        <w:rPr>
          <w:rFonts w:hint="default"/>
          <w:sz w:val="21"/>
          <w:szCs w:val="18"/>
        </w:rPr>
      </w:pPr>
      <w:r>
        <w:rPr>
          <w:sz w:val="21"/>
          <w:szCs w:val="18"/>
        </w:rPr>
        <w:t>　　详见本合同专用条款</w:t>
      </w:r>
      <w:r>
        <w:rPr>
          <w:rFonts w:hint="default"/>
          <w:sz w:val="21"/>
          <w:szCs w:val="18"/>
        </w:rPr>
        <w:t xml:space="preserve">。 </w:t>
      </w:r>
    </w:p>
    <w:p w14:paraId="6FFB9941">
      <w:pPr>
        <w:pStyle w:val="101"/>
      </w:pPr>
      <w:bookmarkStart w:id="473" w:name="_Toc534298643"/>
      <w:bookmarkStart w:id="474" w:name="_Toc534298879"/>
      <w:bookmarkStart w:id="475" w:name="_Toc5971594"/>
      <w:bookmarkStart w:id="476" w:name="_Toc534295079"/>
      <w:bookmarkStart w:id="477" w:name="_Toc534294341"/>
      <w:bookmarkStart w:id="478" w:name="_Toc534294964"/>
      <w:bookmarkStart w:id="479" w:name="_Toc534294813"/>
      <w:bookmarkStart w:id="480" w:name="_Toc152766727"/>
      <w:r>
        <w:t>43、专利技术及特殊工艺</w:t>
      </w:r>
      <w:bookmarkEnd w:id="473"/>
      <w:bookmarkEnd w:id="474"/>
      <w:bookmarkEnd w:id="475"/>
      <w:bookmarkEnd w:id="476"/>
      <w:bookmarkEnd w:id="477"/>
      <w:bookmarkEnd w:id="478"/>
      <w:bookmarkEnd w:id="479"/>
      <w:bookmarkEnd w:id="480"/>
      <w:r>
        <w:t xml:space="preserve"> </w:t>
      </w:r>
    </w:p>
    <w:p w14:paraId="6B147930">
      <w:pPr>
        <w:pStyle w:val="20"/>
        <w:adjustRightInd w:val="0"/>
        <w:snapToGrid w:val="0"/>
        <w:spacing w:before="0" w:beforeAutospacing="0" w:after="0" w:afterAutospacing="0"/>
        <w:rPr>
          <w:rFonts w:hint="default"/>
          <w:sz w:val="21"/>
          <w:szCs w:val="18"/>
        </w:rPr>
      </w:pPr>
      <w:r>
        <w:rPr>
          <w:sz w:val="21"/>
          <w:szCs w:val="18"/>
        </w:rPr>
        <w:t>　　乙方提出使用专利技术或特殊工艺，应取得甲方和监理单位认可，乙方负责办理申报手续并承担有关费用。</w:t>
      </w:r>
      <w:r>
        <w:rPr>
          <w:rFonts w:hint="default"/>
          <w:sz w:val="21"/>
          <w:szCs w:val="18"/>
        </w:rPr>
        <w:t xml:space="preserve"> </w:t>
      </w:r>
    </w:p>
    <w:p w14:paraId="4D969DDD">
      <w:pPr>
        <w:pStyle w:val="101"/>
      </w:pPr>
      <w:bookmarkStart w:id="481" w:name="_Toc534294965"/>
      <w:bookmarkStart w:id="482" w:name="_Toc5971595"/>
      <w:bookmarkStart w:id="483" w:name="_Toc534294814"/>
      <w:bookmarkStart w:id="484" w:name="_Toc534294342"/>
      <w:bookmarkStart w:id="485" w:name="_Toc534298644"/>
      <w:bookmarkStart w:id="486" w:name="_Toc152766728"/>
      <w:bookmarkStart w:id="487" w:name="_Toc534295080"/>
      <w:bookmarkStart w:id="488" w:name="_Toc534298880"/>
      <w:r>
        <w:t>44、文物和地下障碍物</w:t>
      </w:r>
      <w:bookmarkEnd w:id="481"/>
      <w:bookmarkEnd w:id="482"/>
      <w:bookmarkEnd w:id="483"/>
      <w:bookmarkEnd w:id="484"/>
      <w:bookmarkEnd w:id="485"/>
      <w:bookmarkEnd w:id="486"/>
      <w:bookmarkEnd w:id="487"/>
      <w:bookmarkEnd w:id="488"/>
      <w:r>
        <w:t xml:space="preserve"> </w:t>
      </w:r>
    </w:p>
    <w:p w14:paraId="6690DAA3">
      <w:pPr>
        <w:pStyle w:val="20"/>
        <w:adjustRightInd w:val="0"/>
        <w:snapToGrid w:val="0"/>
        <w:spacing w:before="0" w:beforeAutospacing="0" w:after="0" w:afterAutospacing="0"/>
        <w:ind w:firstLine="480"/>
        <w:rPr>
          <w:rFonts w:hint="default"/>
          <w:sz w:val="21"/>
          <w:szCs w:val="18"/>
        </w:rPr>
      </w:pPr>
      <w:r>
        <w:rPr>
          <w:rFonts w:hint="default"/>
          <w:sz w:val="21"/>
          <w:szCs w:val="18"/>
        </w:rPr>
        <w:t>44.1在施工中发现古墓、古建筑遗址等文物及化石或其他有考古、地质研究等价值的物品时，乙方应立即保护好现场并于4小时内以书面形式通知甲方， 甲方应于收到书面通知后24小时内报告当地文物管理部门，甲乙双方按文物管理部门的要求采取妥善保护措施。甲方承担由此发生的费用，顺延延误的工期。如发现后隐瞒不报，致使文物遭受破坏，责任者依法承担相应责任。</w:t>
      </w:r>
    </w:p>
    <w:p w14:paraId="6C4F37B5">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44.2施工中发现影响施工的地下障碍物时，乙方应于24小时内以书面形式通知甲方， 同时提出处置方案，甲方收到处置方案后48小时内予以认可或提出修正方案。由乙方负责处理。 </w:t>
      </w:r>
    </w:p>
    <w:p w14:paraId="5DE6A14F">
      <w:pPr>
        <w:pStyle w:val="101"/>
      </w:pPr>
      <w:bookmarkStart w:id="489" w:name="_Toc152766729"/>
      <w:bookmarkStart w:id="490" w:name="_Toc534298645"/>
      <w:bookmarkStart w:id="491" w:name="_Toc5971596"/>
      <w:bookmarkStart w:id="492" w:name="_Toc534294343"/>
      <w:bookmarkStart w:id="493" w:name="_Toc534294815"/>
      <w:bookmarkStart w:id="494" w:name="_Toc534295081"/>
      <w:bookmarkStart w:id="495" w:name="_Toc534298881"/>
      <w:bookmarkStart w:id="496" w:name="_Toc534294966"/>
      <w:r>
        <w:t>45、合同生效与终止</w:t>
      </w:r>
      <w:bookmarkEnd w:id="489"/>
      <w:bookmarkEnd w:id="490"/>
      <w:bookmarkEnd w:id="491"/>
      <w:bookmarkEnd w:id="492"/>
      <w:bookmarkEnd w:id="493"/>
      <w:bookmarkEnd w:id="494"/>
      <w:bookmarkEnd w:id="495"/>
      <w:bookmarkEnd w:id="496"/>
      <w:r>
        <w:t xml:space="preserve"> </w:t>
      </w:r>
    </w:p>
    <w:p w14:paraId="530F6571">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45.1双方在协议书中约定合同生效方式。 </w:t>
      </w:r>
    </w:p>
    <w:p w14:paraId="686B3EB1">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45.2甲乙双方履行合同全部义务，本合同即告终止。 </w:t>
      </w:r>
    </w:p>
    <w:p w14:paraId="77A73C37">
      <w:pPr>
        <w:pStyle w:val="101"/>
      </w:pPr>
      <w:bookmarkStart w:id="497" w:name="_Toc534295082"/>
      <w:bookmarkStart w:id="498" w:name="_Toc534294816"/>
      <w:bookmarkStart w:id="499" w:name="_Toc534294967"/>
      <w:bookmarkStart w:id="500" w:name="_Toc534298646"/>
      <w:bookmarkStart w:id="501" w:name="_Toc152766730"/>
      <w:bookmarkStart w:id="502" w:name="_Toc534298882"/>
      <w:bookmarkStart w:id="503" w:name="_Toc5971597"/>
      <w:bookmarkStart w:id="504" w:name="_Toc534294344"/>
      <w:r>
        <w:t>46、合同份数</w:t>
      </w:r>
      <w:bookmarkEnd w:id="497"/>
      <w:bookmarkEnd w:id="498"/>
      <w:bookmarkEnd w:id="499"/>
      <w:bookmarkEnd w:id="500"/>
      <w:bookmarkEnd w:id="501"/>
      <w:bookmarkEnd w:id="502"/>
      <w:bookmarkEnd w:id="503"/>
      <w:bookmarkEnd w:id="504"/>
      <w:r>
        <w:t xml:space="preserve"> </w:t>
      </w:r>
    </w:p>
    <w:p w14:paraId="64406582">
      <w:pPr>
        <w:pStyle w:val="20"/>
        <w:adjustRightInd w:val="0"/>
        <w:snapToGrid w:val="0"/>
        <w:spacing w:before="0" w:beforeAutospacing="0" w:after="0" w:afterAutospacing="0"/>
        <w:ind w:firstLine="480"/>
        <w:rPr>
          <w:rFonts w:hint="default"/>
          <w:sz w:val="21"/>
          <w:szCs w:val="18"/>
        </w:rPr>
      </w:pPr>
      <w:r>
        <w:rPr>
          <w:rFonts w:hint="default"/>
          <w:sz w:val="21"/>
          <w:szCs w:val="18"/>
        </w:rPr>
        <w:t xml:space="preserve">46.1本合同正本两份，具有同等效力，由甲方乙方分别保存一份。 </w:t>
      </w:r>
    </w:p>
    <w:p w14:paraId="6B0AB793">
      <w:pPr>
        <w:pStyle w:val="101"/>
        <w:rPr>
          <w:b w:val="0"/>
          <w:bCs w:val="0"/>
          <w:sz w:val="21"/>
          <w:szCs w:val="18"/>
        </w:rPr>
      </w:pPr>
      <w:bookmarkStart w:id="505" w:name="_Toc534294345"/>
      <w:bookmarkStart w:id="506" w:name="_Toc534298883"/>
      <w:bookmarkStart w:id="507" w:name="_Toc5971598"/>
      <w:bookmarkStart w:id="508" w:name="_Toc534295083"/>
      <w:bookmarkStart w:id="509" w:name="_Toc152766731"/>
      <w:bookmarkStart w:id="510" w:name="_Toc534298647"/>
      <w:bookmarkStart w:id="511" w:name="_Toc534294817"/>
      <w:bookmarkStart w:id="512" w:name="_Toc534294968"/>
      <w:r>
        <w:t>47、合同附件及补充协议</w:t>
      </w:r>
      <w:bookmarkEnd w:id="505"/>
      <w:bookmarkEnd w:id="506"/>
      <w:bookmarkEnd w:id="507"/>
      <w:bookmarkEnd w:id="508"/>
      <w:bookmarkEnd w:id="509"/>
      <w:bookmarkEnd w:id="510"/>
      <w:bookmarkEnd w:id="511"/>
      <w:bookmarkEnd w:id="512"/>
      <w:r>
        <w:rPr>
          <w:b w:val="0"/>
          <w:bCs w:val="0"/>
          <w:sz w:val="21"/>
          <w:szCs w:val="18"/>
        </w:rPr>
        <w:t xml:space="preserve"> </w:t>
      </w:r>
    </w:p>
    <w:p w14:paraId="02D4B68E">
      <w:pPr>
        <w:pStyle w:val="20"/>
        <w:adjustRightInd w:val="0"/>
        <w:snapToGrid w:val="0"/>
        <w:spacing w:before="0" w:beforeAutospacing="0" w:after="0" w:afterAutospacing="0"/>
        <w:ind w:firstLine="435"/>
        <w:rPr>
          <w:rFonts w:hint="default"/>
          <w:sz w:val="21"/>
          <w:szCs w:val="18"/>
        </w:rPr>
      </w:pPr>
      <w:r>
        <w:rPr>
          <w:sz w:val="21"/>
          <w:szCs w:val="18"/>
        </w:rPr>
        <w:t>合同附件和补充协议，为本合同的组成部分，经双方签字后具有同等效力。</w:t>
      </w:r>
    </w:p>
    <w:p w14:paraId="1DB290E7">
      <w:pPr>
        <w:pStyle w:val="20"/>
        <w:adjustRightInd w:val="0"/>
        <w:snapToGrid w:val="0"/>
        <w:spacing w:before="0" w:beforeAutospacing="0" w:after="0" w:afterAutospacing="0"/>
        <w:ind w:firstLine="435"/>
        <w:rPr>
          <w:rFonts w:hint="default"/>
          <w:sz w:val="21"/>
          <w:szCs w:val="18"/>
        </w:rPr>
        <w:sectPr>
          <w:pgSz w:w="11906" w:h="16838"/>
          <w:pgMar w:top="1440" w:right="1797" w:bottom="1440" w:left="1797" w:header="851" w:footer="992" w:gutter="0"/>
          <w:cols w:space="425" w:num="1"/>
          <w:titlePg/>
          <w:docGrid w:type="linesAndChars" w:linePitch="312" w:charSpace="0"/>
        </w:sectPr>
      </w:pPr>
    </w:p>
    <w:p w14:paraId="4C5B179C">
      <w:pPr>
        <w:pStyle w:val="20"/>
        <w:adjustRightInd w:val="0"/>
        <w:snapToGrid w:val="0"/>
        <w:spacing w:before="0" w:beforeAutospacing="0" w:after="0" w:afterAutospacing="0"/>
        <w:jc w:val="center"/>
        <w:outlineLvl w:val="0"/>
        <w:rPr>
          <w:rFonts w:hint="default"/>
          <w:b/>
          <w:bCs/>
          <w:sz w:val="28"/>
          <w:szCs w:val="18"/>
        </w:rPr>
      </w:pPr>
      <w:bookmarkStart w:id="513" w:name="_Toc152766732"/>
      <w:r>
        <w:rPr>
          <w:b/>
          <w:bCs/>
          <w:sz w:val="28"/>
          <w:szCs w:val="18"/>
        </w:rPr>
        <w:t>第三部分　　《专用条款》</w:t>
      </w:r>
      <w:bookmarkEnd w:id="513"/>
    </w:p>
    <w:p w14:paraId="2D9165C8"/>
    <w:p w14:paraId="75512FC9">
      <w:pPr>
        <w:pStyle w:val="20"/>
        <w:adjustRightInd w:val="0"/>
        <w:snapToGrid w:val="0"/>
        <w:spacing w:before="0" w:beforeAutospacing="0" w:after="0" w:afterAutospacing="0" w:line="400" w:lineRule="exact"/>
        <w:outlineLvl w:val="0"/>
        <w:rPr>
          <w:rFonts w:hint="default" w:eastAsia="黑体"/>
          <w:b/>
          <w:bCs/>
        </w:rPr>
      </w:pPr>
      <w:bookmarkStart w:id="514" w:name="_Toc152766733"/>
      <w:r>
        <w:rPr>
          <w:rFonts w:eastAsia="黑体"/>
          <w:b/>
          <w:bCs/>
        </w:rPr>
        <w:t>一、词语定义及合同文件</w:t>
      </w:r>
      <w:bookmarkEnd w:id="514"/>
      <w:r>
        <w:rPr>
          <w:rFonts w:eastAsia="黑体"/>
          <w:b/>
          <w:bCs/>
        </w:rPr>
        <w:t xml:space="preserve"> </w:t>
      </w:r>
    </w:p>
    <w:p w14:paraId="66D9E0CF">
      <w:pPr>
        <w:pStyle w:val="20"/>
        <w:adjustRightInd w:val="0"/>
        <w:snapToGrid w:val="0"/>
        <w:spacing w:before="0" w:beforeAutospacing="0" w:after="0" w:afterAutospacing="0" w:line="400" w:lineRule="exact"/>
        <w:ind w:left="420" w:leftChars="200"/>
        <w:rPr>
          <w:rFonts w:hint="default" w:eastAsia="黑体"/>
          <w:b/>
          <w:bCs/>
        </w:rPr>
      </w:pPr>
      <w:r>
        <w:rPr>
          <w:b/>
          <w:bCs/>
        </w:rPr>
        <w:t>1、适用法律、标准及规范</w:t>
      </w:r>
      <w:r>
        <w:rPr>
          <w:rFonts w:hint="default"/>
          <w:b/>
          <w:bCs/>
        </w:rPr>
        <w:t xml:space="preserve"> </w:t>
      </w:r>
    </w:p>
    <w:p w14:paraId="40CAF2EF">
      <w:pPr>
        <w:pStyle w:val="20"/>
        <w:adjustRightInd w:val="0"/>
        <w:snapToGrid w:val="0"/>
        <w:spacing w:before="0" w:beforeAutospacing="0" w:after="0" w:afterAutospacing="0" w:line="400" w:lineRule="exact"/>
        <w:rPr>
          <w:rFonts w:hint="default"/>
          <w:szCs w:val="18"/>
        </w:rPr>
      </w:pPr>
      <w:r>
        <w:rPr>
          <w:szCs w:val="18"/>
        </w:rPr>
        <w:t>　　1</w:t>
      </w:r>
      <w:r>
        <w:rPr>
          <w:rFonts w:hint="default"/>
          <w:szCs w:val="18"/>
        </w:rPr>
        <w:t>.1</w:t>
      </w:r>
      <w:r>
        <w:rPr>
          <w:szCs w:val="18"/>
        </w:rPr>
        <w:t>适用法律和法规的名称：</w:t>
      </w:r>
      <w:r>
        <w:rPr>
          <w:szCs w:val="18"/>
          <w:u w:val="single"/>
        </w:rPr>
        <w:t>执行国家现行法律、法规。</w:t>
      </w:r>
    </w:p>
    <w:p w14:paraId="262784CA">
      <w:pPr>
        <w:pStyle w:val="20"/>
        <w:adjustRightInd w:val="0"/>
        <w:snapToGrid w:val="0"/>
        <w:spacing w:before="0" w:beforeAutospacing="0" w:after="0" w:afterAutospacing="0" w:line="400" w:lineRule="exact"/>
        <w:ind w:firstLine="480"/>
        <w:rPr>
          <w:rFonts w:hint="default"/>
          <w:szCs w:val="18"/>
        </w:rPr>
      </w:pPr>
      <w:r>
        <w:rPr>
          <w:szCs w:val="18"/>
        </w:rPr>
        <w:t>1</w:t>
      </w:r>
      <w:r>
        <w:rPr>
          <w:rFonts w:hint="default"/>
          <w:szCs w:val="18"/>
        </w:rPr>
        <w:t>.2适用标准、规范的名称：</w:t>
      </w:r>
      <w:r>
        <w:rPr>
          <w:rFonts w:hint="default"/>
          <w:szCs w:val="18"/>
          <w:u w:val="single"/>
        </w:rPr>
        <w:t>执行国家现行工程质量标准及验收规范。</w:t>
      </w:r>
      <w:r>
        <w:rPr>
          <w:rFonts w:hint="default"/>
          <w:szCs w:val="18"/>
        </w:rPr>
        <w:t xml:space="preserve"> </w:t>
      </w:r>
    </w:p>
    <w:p w14:paraId="757E7CDE">
      <w:pPr>
        <w:pStyle w:val="20"/>
        <w:adjustRightInd w:val="0"/>
        <w:snapToGrid w:val="0"/>
        <w:spacing w:before="0" w:beforeAutospacing="0" w:after="0" w:afterAutospacing="0" w:line="360" w:lineRule="auto"/>
        <w:ind w:firstLine="480" w:firstLineChars="200"/>
        <w:rPr>
          <w:rFonts w:hint="default"/>
        </w:rPr>
      </w:pPr>
      <w:r>
        <w:rPr>
          <w:szCs w:val="18"/>
        </w:rPr>
        <w:t>GB 50202-2018</w:t>
      </w:r>
      <w:r>
        <w:t>建筑地基基础工程施工质量验收标准</w:t>
      </w:r>
    </w:p>
    <w:p w14:paraId="4486AA9C">
      <w:pPr>
        <w:pStyle w:val="20"/>
        <w:adjustRightInd w:val="0"/>
        <w:snapToGrid w:val="0"/>
        <w:spacing w:before="0" w:beforeAutospacing="0" w:after="0" w:afterAutospacing="0" w:line="360" w:lineRule="auto"/>
        <w:ind w:firstLine="480" w:firstLineChars="200"/>
        <w:rPr>
          <w:rFonts w:hint="default"/>
          <w:szCs w:val="18"/>
        </w:rPr>
      </w:pPr>
      <w:r>
        <w:rPr>
          <w:szCs w:val="18"/>
        </w:rPr>
        <w:t>GB50204-2015 混凝土结构工程施工质量验收规范</w:t>
      </w:r>
    </w:p>
    <w:p w14:paraId="5104B706">
      <w:pPr>
        <w:pStyle w:val="20"/>
        <w:adjustRightInd w:val="0"/>
        <w:snapToGrid w:val="0"/>
        <w:spacing w:before="0" w:beforeAutospacing="0" w:after="0" w:afterAutospacing="0" w:line="360" w:lineRule="auto"/>
        <w:ind w:firstLine="480" w:firstLineChars="200"/>
        <w:rPr>
          <w:rFonts w:hint="default"/>
          <w:szCs w:val="18"/>
        </w:rPr>
      </w:pPr>
      <w:r>
        <w:rPr>
          <w:szCs w:val="18"/>
        </w:rPr>
        <w:t xml:space="preserve">GB50300-2013 建筑工程施工质量验收统一标准 </w:t>
      </w:r>
    </w:p>
    <w:p w14:paraId="4A9D230F">
      <w:pPr>
        <w:pStyle w:val="20"/>
        <w:adjustRightInd w:val="0"/>
        <w:snapToGrid w:val="0"/>
        <w:spacing w:before="0" w:beforeAutospacing="0" w:after="0" w:afterAutospacing="0" w:line="360" w:lineRule="auto"/>
        <w:ind w:firstLine="480" w:firstLineChars="200"/>
        <w:rPr>
          <w:rFonts w:hint="default"/>
          <w:szCs w:val="18"/>
        </w:rPr>
      </w:pPr>
      <w:r>
        <w:rPr>
          <w:szCs w:val="18"/>
        </w:rPr>
        <w:t>GB502052020钢结构工程施工质量验收标准</w:t>
      </w:r>
    </w:p>
    <w:p w14:paraId="2AFBA68D">
      <w:pPr>
        <w:pStyle w:val="20"/>
        <w:adjustRightInd w:val="0"/>
        <w:snapToGrid w:val="0"/>
        <w:spacing w:before="0" w:beforeAutospacing="0" w:after="0" w:afterAutospacing="0" w:line="360" w:lineRule="auto"/>
        <w:ind w:firstLine="480" w:firstLineChars="200"/>
        <w:rPr>
          <w:rFonts w:hint="default"/>
          <w:szCs w:val="18"/>
        </w:rPr>
      </w:pPr>
      <w:r>
        <w:rPr>
          <w:szCs w:val="18"/>
        </w:rPr>
        <w:t>GBT 51351-2019 建筑边坡工程施工质量验收标准</w:t>
      </w:r>
    </w:p>
    <w:p w14:paraId="0A3A59F3">
      <w:pPr>
        <w:pStyle w:val="20"/>
        <w:adjustRightInd w:val="0"/>
        <w:snapToGrid w:val="0"/>
        <w:spacing w:before="0" w:beforeAutospacing="0" w:after="0" w:afterAutospacing="0" w:line="400" w:lineRule="exact"/>
        <w:ind w:left="420" w:leftChars="200"/>
        <w:rPr>
          <w:rFonts w:hint="default" w:eastAsia="黑体"/>
          <w:b/>
          <w:bCs/>
          <w:szCs w:val="18"/>
        </w:rPr>
      </w:pPr>
      <w:r>
        <w:rPr>
          <w:b/>
          <w:bCs/>
        </w:rPr>
        <w:t xml:space="preserve">2、图纸 </w:t>
      </w:r>
    </w:p>
    <w:p w14:paraId="12336721">
      <w:pPr>
        <w:pStyle w:val="20"/>
        <w:adjustRightInd w:val="0"/>
        <w:snapToGrid w:val="0"/>
        <w:spacing w:before="0" w:beforeAutospacing="0" w:after="0" w:afterAutospacing="0" w:line="400" w:lineRule="exact"/>
        <w:ind w:firstLine="480" w:firstLineChars="200"/>
        <w:rPr>
          <w:rFonts w:hint="default"/>
          <w:szCs w:val="18"/>
        </w:rPr>
      </w:pPr>
      <w:r>
        <w:rPr>
          <w:szCs w:val="18"/>
        </w:rPr>
        <w:t>2.1甲方向乙方提供图纸日期和套数：</w:t>
      </w:r>
      <w:r>
        <w:rPr>
          <w:szCs w:val="18"/>
          <w:u w:val="single"/>
        </w:rPr>
        <w:t>本工程开工前甲方向乙方提供设计施工图贰套。</w:t>
      </w:r>
    </w:p>
    <w:p w14:paraId="101BBBD3">
      <w:pPr>
        <w:pStyle w:val="20"/>
        <w:adjustRightInd w:val="0"/>
        <w:snapToGrid w:val="0"/>
        <w:spacing w:before="0" w:beforeAutospacing="0" w:after="0" w:afterAutospacing="0" w:line="400" w:lineRule="exact"/>
        <w:outlineLvl w:val="0"/>
        <w:rPr>
          <w:rFonts w:hint="default" w:eastAsia="黑体"/>
          <w:b/>
          <w:bCs/>
          <w:sz w:val="28"/>
          <w:szCs w:val="18"/>
        </w:rPr>
      </w:pPr>
      <w:bookmarkStart w:id="515" w:name="_Toc152766734"/>
      <w:r>
        <w:rPr>
          <w:rFonts w:eastAsia="黑体"/>
          <w:b/>
          <w:bCs/>
        </w:rPr>
        <w:t>二、双方一般权利和义务</w:t>
      </w:r>
      <w:bookmarkEnd w:id="515"/>
      <w:r>
        <w:rPr>
          <w:rFonts w:eastAsia="黑体"/>
          <w:b/>
          <w:bCs/>
        </w:rPr>
        <w:t xml:space="preserve"> </w:t>
      </w:r>
    </w:p>
    <w:p w14:paraId="09675B4B">
      <w:pPr>
        <w:pStyle w:val="20"/>
        <w:adjustRightInd w:val="0"/>
        <w:snapToGrid w:val="0"/>
        <w:spacing w:before="0" w:beforeAutospacing="0" w:after="0" w:afterAutospacing="0" w:line="400" w:lineRule="exact"/>
        <w:ind w:left="420" w:leftChars="200"/>
        <w:rPr>
          <w:rFonts w:hint="default"/>
          <w:b/>
          <w:bCs/>
        </w:rPr>
      </w:pPr>
      <w:r>
        <w:rPr>
          <w:b/>
          <w:bCs/>
        </w:rPr>
        <w:t>3、甲方代表和监理</w:t>
      </w:r>
    </w:p>
    <w:p w14:paraId="52EC42A5">
      <w:pPr>
        <w:pStyle w:val="20"/>
        <w:adjustRightInd w:val="0"/>
        <w:snapToGrid w:val="0"/>
        <w:spacing w:before="0" w:beforeAutospacing="0" w:after="0" w:afterAutospacing="0" w:line="400" w:lineRule="exact"/>
        <w:ind w:left="420" w:leftChars="200"/>
        <w:rPr>
          <w:rFonts w:hint="default"/>
          <w:b/>
          <w:bCs/>
          <w:szCs w:val="18"/>
        </w:rPr>
      </w:pPr>
      <w:r>
        <w:rPr>
          <w:szCs w:val="18"/>
        </w:rPr>
        <w:t xml:space="preserve">3.1监理单位委派： </w:t>
      </w:r>
    </w:p>
    <w:p w14:paraId="6BE569A9">
      <w:pPr>
        <w:pStyle w:val="20"/>
        <w:adjustRightInd w:val="0"/>
        <w:snapToGrid w:val="0"/>
        <w:spacing w:before="0" w:beforeAutospacing="0" w:after="0" w:afterAutospacing="0" w:line="400" w:lineRule="exact"/>
        <w:ind w:firstLine="480"/>
        <w:rPr>
          <w:rFonts w:hint="default"/>
          <w:szCs w:val="18"/>
          <w:u w:val="single"/>
        </w:rPr>
      </w:pPr>
      <w:r>
        <w:rPr>
          <w:szCs w:val="18"/>
        </w:rPr>
        <w:t>姓名：</w:t>
      </w:r>
      <w:r>
        <w:rPr>
          <w:szCs w:val="18"/>
          <w:u w:val="single"/>
        </w:rPr>
        <w:t xml:space="preserve">    </w:t>
      </w:r>
      <w:r>
        <w:rPr>
          <w:szCs w:val="18"/>
        </w:rPr>
        <w:t xml:space="preserve">     职务：</w:t>
      </w:r>
      <w:r>
        <w:rPr>
          <w:szCs w:val="18"/>
          <w:u w:val="single"/>
        </w:rPr>
        <w:t xml:space="preserve">  监理　  </w:t>
      </w:r>
    </w:p>
    <w:p w14:paraId="4AF0B944">
      <w:pPr>
        <w:pStyle w:val="20"/>
        <w:adjustRightInd w:val="0"/>
        <w:snapToGrid w:val="0"/>
        <w:spacing w:before="0" w:beforeAutospacing="0" w:after="0" w:afterAutospacing="0" w:line="400" w:lineRule="exact"/>
        <w:ind w:firstLine="480"/>
        <w:rPr>
          <w:rFonts w:hint="default"/>
          <w:szCs w:val="18"/>
          <w:u w:val="single"/>
        </w:rPr>
      </w:pPr>
      <w:r>
        <w:rPr>
          <w:szCs w:val="18"/>
        </w:rPr>
        <w:t>甲方委托的职权：</w:t>
      </w:r>
      <w:r>
        <w:rPr>
          <w:szCs w:val="18"/>
          <w:u w:val="single"/>
        </w:rPr>
        <w:t>对本工程施工全过程的安全、质量、进度、投资等进行监督、检查和控制。</w:t>
      </w:r>
    </w:p>
    <w:p w14:paraId="30BEDECA">
      <w:pPr>
        <w:adjustRightInd w:val="0"/>
        <w:snapToGrid w:val="0"/>
        <w:spacing w:line="400" w:lineRule="exact"/>
        <w:jc w:val="left"/>
        <w:rPr>
          <w:rFonts w:ascii="宋体" w:hAnsi="宋体"/>
          <w:sz w:val="24"/>
          <w:szCs w:val="18"/>
        </w:rPr>
      </w:pPr>
      <w:r>
        <w:rPr>
          <w:rFonts w:hint="eastAsia" w:ascii="宋体" w:hAnsi="宋体"/>
          <w:sz w:val="24"/>
          <w:szCs w:val="18"/>
        </w:rPr>
        <w:t>　　需要取得甲方批准才能行使的职权：</w:t>
      </w:r>
      <w:r>
        <w:rPr>
          <w:rFonts w:hint="eastAsia" w:ascii="宋体" w:hAnsi="宋体"/>
          <w:sz w:val="24"/>
          <w:szCs w:val="18"/>
          <w:u w:val="single"/>
        </w:rPr>
        <w:t>停工令、复工令。</w:t>
      </w:r>
    </w:p>
    <w:p w14:paraId="66C98629">
      <w:pPr>
        <w:pStyle w:val="20"/>
        <w:adjustRightInd w:val="0"/>
        <w:snapToGrid w:val="0"/>
        <w:spacing w:before="0" w:beforeAutospacing="0" w:after="0" w:afterAutospacing="0" w:line="400" w:lineRule="exact"/>
        <w:rPr>
          <w:rFonts w:hint="default"/>
          <w:szCs w:val="18"/>
        </w:rPr>
      </w:pPr>
      <w:r>
        <w:rPr>
          <w:szCs w:val="18"/>
        </w:rPr>
        <w:t xml:space="preserve">　　3.2甲方派驻的现场代表  </w:t>
      </w:r>
    </w:p>
    <w:p w14:paraId="782506EF">
      <w:pPr>
        <w:pStyle w:val="20"/>
        <w:adjustRightInd w:val="0"/>
        <w:snapToGrid w:val="0"/>
        <w:spacing w:before="0" w:beforeAutospacing="0" w:after="0" w:afterAutospacing="0" w:line="400" w:lineRule="exact"/>
        <w:rPr>
          <w:rFonts w:hint="default"/>
          <w:szCs w:val="18"/>
        </w:rPr>
      </w:pPr>
      <w:r>
        <w:rPr>
          <w:szCs w:val="18"/>
        </w:rPr>
        <w:t>　　姓名：</w:t>
      </w:r>
      <w:r>
        <w:rPr>
          <w:szCs w:val="18"/>
          <w:u w:val="single"/>
        </w:rPr>
        <w:t xml:space="preserve">涂强政 </w:t>
      </w:r>
      <w:r>
        <w:rPr>
          <w:szCs w:val="18"/>
        </w:rPr>
        <w:t xml:space="preserve">       职务：</w:t>
      </w:r>
      <w:r>
        <w:rPr>
          <w:szCs w:val="18"/>
          <w:u w:val="single"/>
        </w:rPr>
        <w:t xml:space="preserve">甲方项目副经理 </w:t>
      </w:r>
    </w:p>
    <w:p w14:paraId="4B35E03D">
      <w:pPr>
        <w:pStyle w:val="20"/>
        <w:adjustRightInd w:val="0"/>
        <w:snapToGrid w:val="0"/>
        <w:spacing w:before="0" w:beforeAutospacing="0" w:after="0" w:afterAutospacing="0" w:line="400" w:lineRule="exact"/>
        <w:ind w:firstLine="480"/>
        <w:rPr>
          <w:rFonts w:hint="default"/>
          <w:szCs w:val="18"/>
        </w:rPr>
      </w:pPr>
      <w:r>
        <w:rPr>
          <w:szCs w:val="18"/>
        </w:rPr>
        <w:t>职权：</w:t>
      </w:r>
      <w:r>
        <w:rPr>
          <w:szCs w:val="18"/>
          <w:u w:val="single"/>
        </w:rPr>
        <w:t>代表甲方对现场施工进行管理。</w:t>
      </w:r>
      <w:r>
        <w:rPr>
          <w:szCs w:val="18"/>
        </w:rPr>
        <w:t xml:space="preserve"> </w:t>
      </w:r>
    </w:p>
    <w:p w14:paraId="2B802FFC">
      <w:pPr>
        <w:pStyle w:val="20"/>
        <w:adjustRightInd w:val="0"/>
        <w:snapToGrid w:val="0"/>
        <w:spacing w:before="0" w:beforeAutospacing="0" w:after="0" w:afterAutospacing="0" w:line="400" w:lineRule="exact"/>
        <w:ind w:left="420" w:leftChars="200"/>
        <w:rPr>
          <w:rFonts w:hint="default"/>
          <w:b/>
          <w:bCs/>
        </w:rPr>
      </w:pPr>
      <w:r>
        <w:rPr>
          <w:b/>
          <w:bCs/>
        </w:rPr>
        <w:t>4、乙方派驻的现场代表</w:t>
      </w:r>
    </w:p>
    <w:p w14:paraId="53406A73">
      <w:pPr>
        <w:pStyle w:val="20"/>
        <w:adjustRightInd w:val="0"/>
        <w:snapToGrid w:val="0"/>
        <w:spacing w:before="0" w:beforeAutospacing="0" w:after="0" w:afterAutospacing="0" w:line="400" w:lineRule="exact"/>
        <w:ind w:firstLine="480" w:firstLineChars="200"/>
        <w:rPr>
          <w:rFonts w:hint="default"/>
          <w:szCs w:val="18"/>
        </w:rPr>
      </w:pPr>
      <w:r>
        <w:rPr>
          <w:szCs w:val="18"/>
        </w:rPr>
        <w:t>姓名：</w:t>
      </w:r>
      <w:r>
        <w:rPr>
          <w:szCs w:val="18"/>
          <w:u w:val="single"/>
        </w:rPr>
        <w:t xml:space="preserve">         </w:t>
      </w:r>
      <w:r>
        <w:rPr>
          <w:szCs w:val="18"/>
        </w:rPr>
        <w:t xml:space="preserve">      职务：</w:t>
      </w:r>
      <w:r>
        <w:rPr>
          <w:szCs w:val="18"/>
          <w:u w:val="single"/>
        </w:rPr>
        <w:t>乙方项目经理</w:t>
      </w:r>
    </w:p>
    <w:p w14:paraId="562B6EA6">
      <w:pPr>
        <w:pStyle w:val="20"/>
        <w:adjustRightInd w:val="0"/>
        <w:snapToGrid w:val="0"/>
        <w:spacing w:before="0" w:beforeAutospacing="0" w:after="0" w:afterAutospacing="0" w:line="400" w:lineRule="exact"/>
        <w:ind w:left="420" w:leftChars="200"/>
        <w:rPr>
          <w:rFonts w:hint="default"/>
          <w:b/>
          <w:bCs/>
        </w:rPr>
      </w:pPr>
      <w:r>
        <w:rPr>
          <w:b/>
          <w:bCs/>
        </w:rPr>
        <w:t xml:space="preserve">5、甲方工作 </w:t>
      </w:r>
    </w:p>
    <w:p w14:paraId="04BCF0A4">
      <w:pPr>
        <w:pStyle w:val="20"/>
        <w:adjustRightInd w:val="0"/>
        <w:snapToGrid w:val="0"/>
        <w:spacing w:before="0" w:beforeAutospacing="0" w:after="0" w:afterAutospacing="0" w:line="400" w:lineRule="exact"/>
        <w:ind w:left="420" w:leftChars="200"/>
        <w:rPr>
          <w:rFonts w:hint="default"/>
          <w:szCs w:val="18"/>
        </w:rPr>
      </w:pPr>
      <w:r>
        <w:rPr>
          <w:szCs w:val="18"/>
        </w:rPr>
        <w:t xml:space="preserve">5.1甲方应按约定的时间和要求完成以下工作： </w:t>
      </w:r>
    </w:p>
    <w:p w14:paraId="1D5ADE5B">
      <w:pPr>
        <w:pStyle w:val="20"/>
        <w:adjustRightInd w:val="0"/>
        <w:snapToGrid w:val="0"/>
        <w:spacing w:before="0" w:beforeAutospacing="0" w:after="0" w:afterAutospacing="0" w:line="360" w:lineRule="auto"/>
        <w:ind w:left="420" w:leftChars="200"/>
        <w:rPr>
          <w:rFonts w:hint="default"/>
          <w:u w:val="single"/>
        </w:rPr>
      </w:pPr>
      <w:r>
        <w:rPr>
          <w:u w:val="single"/>
        </w:rPr>
        <w:t xml:space="preserve">（1）将施工所需的水、电、电讯线路接至施工场地 </w:t>
      </w:r>
      <w:r>
        <w:rPr>
          <w:u w:val="single"/>
        </w:rPr>
        <w:br w:type="textWrapping"/>
      </w:r>
      <w:r>
        <w:rPr>
          <w:u w:val="single"/>
        </w:rPr>
        <w:t>（2）提供施工电源的接线位置，并负责协调接线事宜，由乙方自行接线并引至施工区域。</w:t>
      </w:r>
    </w:p>
    <w:p w14:paraId="7DDD7FD5">
      <w:pPr>
        <w:pStyle w:val="20"/>
        <w:adjustRightInd w:val="0"/>
        <w:snapToGrid w:val="0"/>
        <w:spacing w:before="0" w:beforeAutospacing="0" w:after="0" w:afterAutospacing="0" w:line="360" w:lineRule="auto"/>
        <w:ind w:firstLine="480" w:firstLineChars="200"/>
        <w:rPr>
          <w:rFonts w:hint="default"/>
          <w:u w:val="single"/>
        </w:rPr>
      </w:pPr>
      <w:r>
        <w:rPr>
          <w:u w:val="single"/>
        </w:rPr>
        <w:t>（3）提供施工水源点，乙方自行解决接水事宜。乙方的施工用电用水单独计量，并按有关规定每月支付相关费用。</w:t>
      </w:r>
    </w:p>
    <w:p w14:paraId="410BA5D8">
      <w:pPr>
        <w:pStyle w:val="20"/>
        <w:adjustRightInd w:val="0"/>
        <w:snapToGrid w:val="0"/>
        <w:spacing w:before="0" w:beforeAutospacing="0" w:after="0" w:afterAutospacing="0" w:line="400" w:lineRule="exact"/>
        <w:ind w:left="420" w:leftChars="200"/>
        <w:rPr>
          <w:rFonts w:hint="default"/>
          <w:b/>
          <w:bCs/>
        </w:rPr>
      </w:pPr>
      <w:r>
        <w:rPr>
          <w:b/>
          <w:bCs/>
        </w:rPr>
        <w:t>6、乙方工作</w:t>
      </w:r>
    </w:p>
    <w:p w14:paraId="5E17F5C0">
      <w:pPr>
        <w:adjustRightInd w:val="0"/>
        <w:snapToGrid w:val="0"/>
        <w:spacing w:line="400" w:lineRule="exact"/>
        <w:ind w:firstLine="480"/>
        <w:jc w:val="left"/>
        <w:rPr>
          <w:rFonts w:ascii="宋体" w:hAnsi="宋体"/>
          <w:sz w:val="24"/>
          <w:szCs w:val="18"/>
        </w:rPr>
      </w:pPr>
      <w:r>
        <w:rPr>
          <w:rFonts w:hint="eastAsia" w:ascii="宋体" w:hAnsi="宋体"/>
          <w:sz w:val="24"/>
          <w:szCs w:val="18"/>
        </w:rPr>
        <w:t xml:space="preserve">6.1乙方应按约定时间和要求，完成以下工作： </w:t>
      </w:r>
    </w:p>
    <w:p w14:paraId="3C81714B">
      <w:pPr>
        <w:adjustRightInd w:val="0"/>
        <w:snapToGrid w:val="0"/>
        <w:spacing w:line="360" w:lineRule="auto"/>
        <w:ind w:firstLine="480" w:firstLineChars="200"/>
        <w:jc w:val="left"/>
        <w:rPr>
          <w:rFonts w:ascii="宋体" w:hAnsi="宋体" w:cs="宋体"/>
          <w:kern w:val="0"/>
          <w:sz w:val="24"/>
          <w:u w:val="single"/>
        </w:rPr>
      </w:pPr>
      <w:r>
        <w:rPr>
          <w:rFonts w:ascii="宋体" w:hAnsi="宋体" w:cs="宋体"/>
          <w:kern w:val="0"/>
          <w:sz w:val="24"/>
          <w:u w:val="single"/>
        </w:rPr>
        <w:t>（1）应提供计划、报表的名称及完成时间：每月20日以前向甲方提供当月进度报表和次月进度计划。</w:t>
      </w:r>
    </w:p>
    <w:p w14:paraId="77716930">
      <w:pPr>
        <w:pStyle w:val="20"/>
        <w:adjustRightInd w:val="0"/>
        <w:snapToGrid w:val="0"/>
        <w:spacing w:before="0" w:beforeAutospacing="0" w:after="0" w:afterAutospacing="0" w:line="360" w:lineRule="auto"/>
        <w:ind w:firstLine="480" w:firstLineChars="200"/>
        <w:rPr>
          <w:rFonts w:hint="default"/>
          <w:u w:val="single"/>
        </w:rPr>
      </w:pPr>
      <w:r>
        <w:rPr>
          <w:u w:val="single"/>
        </w:rPr>
        <w:t>（2）需乙方办理的有关施工场地交通、环卫、施工噪音、爆破作业管理等手续： 乙方在开工前办理上述有关手续。上述手续的办理如有困难需甲方协助时，甲方将予以协助，费用由乙方承担。</w:t>
      </w:r>
    </w:p>
    <w:p w14:paraId="61D1B151">
      <w:pPr>
        <w:pStyle w:val="20"/>
        <w:adjustRightInd w:val="0"/>
        <w:snapToGrid w:val="0"/>
        <w:spacing w:before="0" w:beforeAutospacing="0" w:after="0" w:afterAutospacing="0" w:line="360" w:lineRule="auto"/>
        <w:ind w:firstLine="480" w:firstLineChars="200"/>
        <w:rPr>
          <w:rFonts w:hint="default"/>
          <w:u w:val="single"/>
        </w:rPr>
      </w:pPr>
      <w:r>
        <w:rPr>
          <w:u w:val="single"/>
        </w:rPr>
        <w:t>（3）乙方必须保证各项目技术资料；提供材料均应符合国家标准，乙方应在材料运到施工现场前通知甲方，并接受甲方的验收。如乙方材料不符合国家标准，甲方有权要求更换且要求赔偿损失。</w:t>
      </w:r>
    </w:p>
    <w:p w14:paraId="423A95AA">
      <w:pPr>
        <w:pStyle w:val="20"/>
        <w:adjustRightInd w:val="0"/>
        <w:snapToGrid w:val="0"/>
        <w:spacing w:before="0" w:beforeAutospacing="0" w:after="0" w:afterAutospacing="0" w:line="360" w:lineRule="auto"/>
        <w:ind w:firstLine="480" w:firstLineChars="200"/>
        <w:rPr>
          <w:rFonts w:hint="default"/>
          <w:szCs w:val="18"/>
          <w:u w:val="single"/>
        </w:rPr>
      </w:pPr>
      <w:r>
        <w:rPr>
          <w:u w:val="single"/>
        </w:rPr>
        <w:t xml:space="preserve">（4）确保工程质量的技术组织措施；确保安全生产的技术组织措施；确保文明施工、消防，环保及保卫措施                                                           </w:t>
      </w:r>
    </w:p>
    <w:p w14:paraId="7DD0B522">
      <w:pPr>
        <w:pStyle w:val="20"/>
        <w:adjustRightInd w:val="0"/>
        <w:snapToGrid w:val="0"/>
        <w:spacing w:before="0" w:beforeAutospacing="0" w:after="0" w:afterAutospacing="0" w:line="360" w:lineRule="auto"/>
        <w:ind w:firstLine="480" w:firstLineChars="200"/>
        <w:rPr>
          <w:rFonts w:hint="default"/>
          <w:szCs w:val="18"/>
          <w:u w:val="single"/>
        </w:rPr>
      </w:pPr>
      <w:r>
        <w:rPr>
          <w:u w:val="single"/>
        </w:rPr>
        <w:t xml:space="preserve">（5）不拖欠民工工资的承诺书                                       </w:t>
      </w:r>
      <w:r>
        <w:rPr>
          <w:szCs w:val="18"/>
          <w:u w:val="single"/>
        </w:rPr>
        <w:t xml:space="preserve"> </w:t>
      </w:r>
    </w:p>
    <w:p w14:paraId="206D32AD">
      <w:pPr>
        <w:pStyle w:val="20"/>
        <w:adjustRightInd w:val="0"/>
        <w:snapToGrid w:val="0"/>
        <w:spacing w:before="0" w:beforeAutospacing="0" w:after="0" w:afterAutospacing="0" w:line="400" w:lineRule="exact"/>
        <w:outlineLvl w:val="0"/>
        <w:rPr>
          <w:rFonts w:hint="default" w:eastAsia="黑体"/>
          <w:b/>
          <w:bCs/>
        </w:rPr>
      </w:pPr>
      <w:bookmarkStart w:id="516" w:name="_Toc152766735"/>
      <w:r>
        <w:rPr>
          <w:rFonts w:eastAsia="黑体"/>
          <w:b/>
          <w:bCs/>
        </w:rPr>
        <w:t>三、施工进度和工期</w:t>
      </w:r>
      <w:bookmarkEnd w:id="516"/>
      <w:r>
        <w:rPr>
          <w:rFonts w:eastAsia="黑体"/>
          <w:b/>
          <w:bCs/>
        </w:rPr>
        <w:t xml:space="preserve"> </w:t>
      </w:r>
    </w:p>
    <w:p w14:paraId="3927E8AA">
      <w:pPr>
        <w:pStyle w:val="20"/>
        <w:adjustRightInd w:val="0"/>
        <w:snapToGrid w:val="0"/>
        <w:spacing w:before="0" w:beforeAutospacing="0" w:after="0" w:afterAutospacing="0" w:line="400" w:lineRule="exact"/>
        <w:ind w:left="420" w:leftChars="200"/>
        <w:rPr>
          <w:rFonts w:hint="default"/>
          <w:b/>
          <w:bCs/>
        </w:rPr>
      </w:pPr>
      <w:r>
        <w:rPr>
          <w:b/>
          <w:bCs/>
        </w:rPr>
        <w:t xml:space="preserve">7、进度计划  </w:t>
      </w:r>
    </w:p>
    <w:p w14:paraId="53300D1A">
      <w:pPr>
        <w:pStyle w:val="20"/>
        <w:adjustRightInd w:val="0"/>
        <w:snapToGrid w:val="0"/>
        <w:spacing w:before="0" w:beforeAutospacing="0" w:after="0" w:afterAutospacing="0" w:line="400" w:lineRule="exact"/>
        <w:ind w:left="900" w:leftChars="200" w:hanging="480" w:hangingChars="200"/>
        <w:rPr>
          <w:rFonts w:hint="default"/>
          <w:szCs w:val="18"/>
          <w:u w:val="single"/>
        </w:rPr>
      </w:pPr>
      <w:r>
        <w:rPr>
          <w:szCs w:val="18"/>
        </w:rPr>
        <w:t>7.1乙方提供施工组织设计（施工方案）的时间：</w:t>
      </w:r>
      <w:r>
        <w:rPr>
          <w:szCs w:val="18"/>
          <w:u w:val="single"/>
        </w:rPr>
        <w:t>开工前。</w:t>
      </w:r>
    </w:p>
    <w:p w14:paraId="70C0A512">
      <w:pPr>
        <w:pStyle w:val="20"/>
        <w:adjustRightInd w:val="0"/>
        <w:snapToGrid w:val="0"/>
        <w:spacing w:before="0" w:beforeAutospacing="0" w:after="0" w:afterAutospacing="0" w:line="400" w:lineRule="exact"/>
        <w:ind w:firstLine="840" w:firstLineChars="350"/>
        <w:rPr>
          <w:rFonts w:hint="default"/>
          <w:szCs w:val="18"/>
        </w:rPr>
      </w:pPr>
      <w:r>
        <w:rPr>
          <w:szCs w:val="18"/>
        </w:rPr>
        <w:t>乙方提供进度计划的时间：</w:t>
      </w:r>
      <w:r>
        <w:rPr>
          <w:szCs w:val="18"/>
          <w:u w:val="single"/>
        </w:rPr>
        <w:t>每月20日前</w:t>
      </w:r>
      <w:r>
        <w:rPr>
          <w:szCs w:val="18"/>
        </w:rPr>
        <w:t>。</w:t>
      </w:r>
    </w:p>
    <w:p w14:paraId="038F8C0A">
      <w:pPr>
        <w:pStyle w:val="20"/>
        <w:adjustRightInd w:val="0"/>
        <w:snapToGrid w:val="0"/>
        <w:spacing w:before="0" w:beforeAutospacing="0" w:after="0" w:afterAutospacing="0" w:line="400" w:lineRule="exact"/>
        <w:ind w:firstLine="480"/>
        <w:rPr>
          <w:rFonts w:hint="default"/>
          <w:szCs w:val="18"/>
        </w:rPr>
      </w:pPr>
      <w:r>
        <w:rPr>
          <w:szCs w:val="18"/>
        </w:rPr>
        <w:t>7.2乙方应积极配合甲方要求，首先完成需要移交设备安装的施工部位，确保设备安装按期交接，具体计划以甲乙双方确认的交安计划为准。</w:t>
      </w:r>
    </w:p>
    <w:p w14:paraId="1B05DD23">
      <w:pPr>
        <w:pStyle w:val="20"/>
        <w:adjustRightInd w:val="0"/>
        <w:snapToGrid w:val="0"/>
        <w:spacing w:before="0" w:beforeAutospacing="0" w:after="0" w:afterAutospacing="0" w:line="400" w:lineRule="exact"/>
        <w:ind w:firstLine="480"/>
        <w:rPr>
          <w:rFonts w:hint="default"/>
          <w:szCs w:val="18"/>
        </w:rPr>
      </w:pPr>
      <w:r>
        <w:rPr>
          <w:szCs w:val="18"/>
          <w:highlight w:val="yellow"/>
        </w:rPr>
        <w:t>7.3施工时间安排：</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3"/>
        <w:gridCol w:w="2410"/>
        <w:gridCol w:w="1843"/>
      </w:tblGrid>
      <w:tr w14:paraId="5D90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B4A86AF">
            <w:pPr>
              <w:jc w:val="center"/>
              <w:rPr>
                <w:b/>
                <w:kern w:val="0"/>
                <w:sz w:val="20"/>
                <w:szCs w:val="28"/>
                <w:highlight w:val="yellow"/>
              </w:rPr>
            </w:pPr>
            <w:r>
              <w:rPr>
                <w:b/>
                <w:kern w:val="0"/>
                <w:sz w:val="20"/>
                <w:szCs w:val="28"/>
                <w:highlight w:val="yellow"/>
              </w:rPr>
              <w:t>施工期间</w:t>
            </w:r>
          </w:p>
        </w:tc>
        <w:tc>
          <w:tcPr>
            <w:tcW w:w="2693" w:type="dxa"/>
          </w:tcPr>
          <w:p w14:paraId="02F0A419">
            <w:pPr>
              <w:jc w:val="center"/>
              <w:rPr>
                <w:b/>
                <w:kern w:val="0"/>
                <w:sz w:val="20"/>
                <w:szCs w:val="28"/>
                <w:highlight w:val="yellow"/>
              </w:rPr>
            </w:pPr>
            <w:r>
              <w:rPr>
                <w:b/>
                <w:kern w:val="0"/>
                <w:sz w:val="20"/>
                <w:szCs w:val="28"/>
                <w:highlight w:val="yellow"/>
              </w:rPr>
              <w:t>开始</w:t>
            </w:r>
          </w:p>
        </w:tc>
        <w:tc>
          <w:tcPr>
            <w:tcW w:w="2410" w:type="dxa"/>
          </w:tcPr>
          <w:p w14:paraId="6E1B0D1A">
            <w:pPr>
              <w:jc w:val="center"/>
              <w:rPr>
                <w:b/>
                <w:kern w:val="0"/>
                <w:sz w:val="20"/>
                <w:szCs w:val="28"/>
                <w:highlight w:val="yellow"/>
              </w:rPr>
            </w:pPr>
            <w:r>
              <w:rPr>
                <w:b/>
                <w:kern w:val="0"/>
                <w:sz w:val="20"/>
                <w:szCs w:val="28"/>
                <w:highlight w:val="yellow"/>
              </w:rPr>
              <w:t>结束</w:t>
            </w:r>
          </w:p>
        </w:tc>
        <w:tc>
          <w:tcPr>
            <w:tcW w:w="1843" w:type="dxa"/>
          </w:tcPr>
          <w:p w14:paraId="5CC08C67">
            <w:pPr>
              <w:jc w:val="center"/>
              <w:rPr>
                <w:b/>
                <w:kern w:val="0"/>
                <w:sz w:val="20"/>
                <w:szCs w:val="28"/>
                <w:highlight w:val="yellow"/>
              </w:rPr>
            </w:pPr>
            <w:r>
              <w:rPr>
                <w:b/>
                <w:kern w:val="0"/>
                <w:sz w:val="20"/>
                <w:szCs w:val="28"/>
                <w:highlight w:val="yellow"/>
              </w:rPr>
              <w:t>天数</w:t>
            </w:r>
          </w:p>
        </w:tc>
      </w:tr>
      <w:tr w14:paraId="7269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15BA59A">
            <w:pPr>
              <w:jc w:val="center"/>
              <w:rPr>
                <w:kern w:val="0"/>
                <w:sz w:val="22"/>
                <w:szCs w:val="28"/>
                <w:highlight w:val="yellow"/>
              </w:rPr>
            </w:pPr>
            <w:r>
              <w:rPr>
                <w:rFonts w:hint="eastAsia"/>
                <w:kern w:val="0"/>
                <w:sz w:val="22"/>
                <w:szCs w:val="28"/>
                <w:highlight w:val="yellow"/>
              </w:rPr>
              <w:t>春节前</w:t>
            </w:r>
          </w:p>
        </w:tc>
        <w:tc>
          <w:tcPr>
            <w:tcW w:w="2693" w:type="dxa"/>
          </w:tcPr>
          <w:p w14:paraId="4D10EEDB">
            <w:pPr>
              <w:jc w:val="center"/>
              <w:rPr>
                <w:kern w:val="0"/>
                <w:sz w:val="22"/>
                <w:szCs w:val="28"/>
                <w:highlight w:val="yellow"/>
              </w:rPr>
            </w:pPr>
          </w:p>
        </w:tc>
        <w:tc>
          <w:tcPr>
            <w:tcW w:w="2410" w:type="dxa"/>
          </w:tcPr>
          <w:p w14:paraId="37BDFBBA">
            <w:pPr>
              <w:jc w:val="center"/>
              <w:rPr>
                <w:kern w:val="0"/>
                <w:sz w:val="22"/>
                <w:szCs w:val="28"/>
                <w:highlight w:val="yellow"/>
              </w:rPr>
            </w:pPr>
          </w:p>
        </w:tc>
        <w:tc>
          <w:tcPr>
            <w:tcW w:w="1843" w:type="dxa"/>
          </w:tcPr>
          <w:p w14:paraId="4CA1C1FB">
            <w:pPr>
              <w:jc w:val="center"/>
              <w:rPr>
                <w:kern w:val="0"/>
                <w:sz w:val="22"/>
                <w:szCs w:val="28"/>
                <w:highlight w:val="yellow"/>
              </w:rPr>
            </w:pPr>
          </w:p>
        </w:tc>
      </w:tr>
      <w:tr w14:paraId="7693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9750B14">
            <w:pPr>
              <w:jc w:val="center"/>
              <w:rPr>
                <w:kern w:val="0"/>
                <w:sz w:val="22"/>
                <w:szCs w:val="28"/>
                <w:highlight w:val="yellow"/>
              </w:rPr>
            </w:pPr>
            <w:r>
              <w:rPr>
                <w:rFonts w:hint="eastAsia"/>
                <w:kern w:val="0"/>
                <w:sz w:val="22"/>
                <w:szCs w:val="28"/>
                <w:highlight w:val="yellow"/>
              </w:rPr>
              <w:t>春节后</w:t>
            </w:r>
          </w:p>
        </w:tc>
        <w:tc>
          <w:tcPr>
            <w:tcW w:w="2693" w:type="dxa"/>
          </w:tcPr>
          <w:p w14:paraId="47760C6D">
            <w:pPr>
              <w:jc w:val="center"/>
              <w:rPr>
                <w:kern w:val="0"/>
                <w:sz w:val="22"/>
                <w:szCs w:val="28"/>
                <w:highlight w:val="yellow"/>
              </w:rPr>
            </w:pPr>
          </w:p>
        </w:tc>
        <w:tc>
          <w:tcPr>
            <w:tcW w:w="2410" w:type="dxa"/>
          </w:tcPr>
          <w:p w14:paraId="662B8022">
            <w:pPr>
              <w:ind w:firstLine="220" w:firstLineChars="100"/>
              <w:rPr>
                <w:kern w:val="0"/>
                <w:sz w:val="22"/>
                <w:szCs w:val="28"/>
                <w:highlight w:val="yellow"/>
              </w:rPr>
            </w:pPr>
          </w:p>
        </w:tc>
        <w:tc>
          <w:tcPr>
            <w:tcW w:w="1843" w:type="dxa"/>
          </w:tcPr>
          <w:p w14:paraId="6BEFF343">
            <w:pPr>
              <w:jc w:val="center"/>
              <w:rPr>
                <w:kern w:val="0"/>
                <w:sz w:val="22"/>
                <w:szCs w:val="28"/>
              </w:rPr>
            </w:pPr>
          </w:p>
        </w:tc>
      </w:tr>
    </w:tbl>
    <w:p w14:paraId="676D8897">
      <w:pPr>
        <w:pStyle w:val="20"/>
        <w:adjustRightInd w:val="0"/>
        <w:snapToGrid w:val="0"/>
        <w:spacing w:before="0" w:beforeAutospacing="0" w:after="0" w:afterAutospacing="0" w:line="400" w:lineRule="exact"/>
        <w:ind w:firstLine="480"/>
        <w:rPr>
          <w:rFonts w:hint="default"/>
          <w:szCs w:val="18"/>
        </w:rPr>
      </w:pPr>
    </w:p>
    <w:p w14:paraId="7DD8A139">
      <w:pPr>
        <w:pStyle w:val="20"/>
        <w:adjustRightInd w:val="0"/>
        <w:snapToGrid w:val="0"/>
        <w:spacing w:before="0" w:beforeAutospacing="0" w:after="0" w:afterAutospacing="0" w:line="400" w:lineRule="exact"/>
        <w:outlineLvl w:val="0"/>
        <w:rPr>
          <w:rFonts w:hint="default" w:eastAsia="黑体"/>
          <w:b/>
          <w:bCs/>
        </w:rPr>
      </w:pPr>
      <w:bookmarkStart w:id="517" w:name="_Toc152766736"/>
      <w:r>
        <w:rPr>
          <w:rFonts w:eastAsia="黑体"/>
          <w:b/>
          <w:bCs/>
        </w:rPr>
        <w:t>四、质量与检验</w:t>
      </w:r>
      <w:bookmarkEnd w:id="517"/>
      <w:r>
        <w:rPr>
          <w:rFonts w:eastAsia="黑体"/>
          <w:b/>
          <w:bCs/>
        </w:rPr>
        <w:t xml:space="preserve"> </w:t>
      </w:r>
    </w:p>
    <w:p w14:paraId="6BB71EA3">
      <w:pPr>
        <w:pStyle w:val="20"/>
        <w:adjustRightInd w:val="0"/>
        <w:snapToGrid w:val="0"/>
        <w:spacing w:before="0" w:beforeAutospacing="0" w:after="0" w:afterAutospacing="0" w:line="400" w:lineRule="exact"/>
        <w:ind w:firstLine="480"/>
        <w:rPr>
          <w:rFonts w:hint="default" w:eastAsia="黑体"/>
          <w:b/>
          <w:bCs/>
          <w:szCs w:val="18"/>
        </w:rPr>
      </w:pPr>
      <w:r>
        <w:rPr>
          <w:b/>
          <w:bCs/>
        </w:rPr>
        <w:t xml:space="preserve">8、隐蔽工程和中间验收 </w:t>
      </w:r>
    </w:p>
    <w:p w14:paraId="2B891DB6">
      <w:pPr>
        <w:pStyle w:val="20"/>
        <w:adjustRightInd w:val="0"/>
        <w:snapToGrid w:val="0"/>
        <w:spacing w:before="0" w:beforeAutospacing="0" w:after="0" w:afterAutospacing="0" w:line="400" w:lineRule="exact"/>
        <w:ind w:firstLine="480" w:firstLineChars="200"/>
        <w:rPr>
          <w:rFonts w:hint="default"/>
          <w:szCs w:val="18"/>
        </w:rPr>
      </w:pPr>
      <w:r>
        <w:rPr>
          <w:szCs w:val="18"/>
        </w:rPr>
        <w:t>8.1双方约定中间验收部位：</w:t>
      </w:r>
      <w:r>
        <w:rPr>
          <w:u w:val="single"/>
        </w:rPr>
        <w:t xml:space="preserve">                               </w:t>
      </w:r>
      <w:r>
        <w:rPr>
          <w:szCs w:val="18"/>
          <w:u w:val="single"/>
        </w:rPr>
        <w:t>。</w:t>
      </w:r>
    </w:p>
    <w:p w14:paraId="04E949EC">
      <w:pPr>
        <w:pStyle w:val="20"/>
        <w:adjustRightInd w:val="0"/>
        <w:snapToGrid w:val="0"/>
        <w:spacing w:before="0" w:beforeAutospacing="0" w:after="0" w:afterAutospacing="0" w:line="400" w:lineRule="exact"/>
        <w:outlineLvl w:val="0"/>
        <w:rPr>
          <w:rFonts w:hint="default" w:eastAsia="黑体"/>
          <w:b/>
          <w:bCs/>
        </w:rPr>
      </w:pPr>
      <w:bookmarkStart w:id="518" w:name="_Toc152766737"/>
      <w:r>
        <w:rPr>
          <w:rFonts w:eastAsia="黑体"/>
          <w:b/>
          <w:bCs/>
        </w:rPr>
        <w:t>五、安全施工</w:t>
      </w:r>
      <w:bookmarkEnd w:id="518"/>
    </w:p>
    <w:p w14:paraId="102DC785">
      <w:pPr>
        <w:pStyle w:val="20"/>
        <w:adjustRightInd w:val="0"/>
        <w:snapToGrid w:val="0"/>
        <w:spacing w:before="0" w:beforeAutospacing="0" w:after="0" w:afterAutospacing="0" w:line="400" w:lineRule="exact"/>
        <w:ind w:firstLine="480"/>
        <w:rPr>
          <w:rFonts w:hint="default"/>
          <w:b/>
          <w:bCs/>
        </w:rPr>
      </w:pPr>
      <w:r>
        <w:rPr>
          <w:b/>
          <w:bCs/>
        </w:rPr>
        <w:t>9、安全施工与检查</w:t>
      </w:r>
    </w:p>
    <w:p w14:paraId="1B885C63">
      <w:pPr>
        <w:pStyle w:val="20"/>
        <w:adjustRightInd w:val="0"/>
        <w:snapToGrid w:val="0"/>
        <w:spacing w:before="0" w:beforeAutospacing="0" w:after="0" w:afterAutospacing="0" w:line="400" w:lineRule="exact"/>
        <w:ind w:firstLine="480" w:firstLineChars="200"/>
        <w:rPr>
          <w:rFonts w:hint="default"/>
          <w:szCs w:val="18"/>
        </w:rPr>
      </w:pPr>
      <w:r>
        <w:rPr>
          <w:szCs w:val="18"/>
        </w:rPr>
        <w:t>9.1乙方须遵守甲方安全标准，甲方针对合同方安全管理类及施工现场安全管理进行检查，具体详见附件 。</w:t>
      </w:r>
    </w:p>
    <w:p w14:paraId="6B062B49">
      <w:pPr>
        <w:pStyle w:val="20"/>
        <w:adjustRightInd w:val="0"/>
        <w:snapToGrid w:val="0"/>
        <w:spacing w:before="0" w:beforeAutospacing="0" w:after="0" w:afterAutospacing="0" w:line="400" w:lineRule="exact"/>
        <w:ind w:firstLine="480" w:firstLineChars="200"/>
        <w:rPr>
          <w:rFonts w:hint="default"/>
          <w:szCs w:val="18"/>
        </w:rPr>
      </w:pPr>
      <w:r>
        <w:rPr>
          <w:szCs w:val="18"/>
        </w:rPr>
        <w:t>9.2乙方施工人员在施工现场必须装备安全帽、安全鞋、安全绳（五点式双钩）等个人防护用品，施工单位需制作安全警示、安全标语等相关警示牌。</w:t>
      </w:r>
    </w:p>
    <w:p w14:paraId="551145A3">
      <w:pPr>
        <w:pStyle w:val="20"/>
        <w:adjustRightInd w:val="0"/>
        <w:snapToGrid w:val="0"/>
        <w:spacing w:before="0" w:beforeAutospacing="0" w:after="0" w:afterAutospacing="0" w:line="400" w:lineRule="exact"/>
        <w:ind w:firstLine="480" w:firstLineChars="200"/>
        <w:rPr>
          <w:rFonts w:hint="default"/>
          <w:szCs w:val="18"/>
        </w:rPr>
      </w:pPr>
      <w:r>
        <w:rPr>
          <w:szCs w:val="18"/>
        </w:rPr>
        <w:t>9.3根据国家安全规定，乙方应在现场常驻至少一名专职安全经理，负责施工安全与检查，切实做好安全防护工作。</w:t>
      </w:r>
    </w:p>
    <w:p w14:paraId="6F5380E3">
      <w:pPr>
        <w:pStyle w:val="20"/>
        <w:adjustRightInd w:val="0"/>
        <w:snapToGrid w:val="0"/>
        <w:spacing w:before="0" w:beforeAutospacing="0" w:after="0" w:afterAutospacing="0" w:line="400" w:lineRule="exact"/>
        <w:ind w:firstLine="480" w:firstLineChars="200"/>
        <w:rPr>
          <w:rFonts w:hint="default"/>
          <w:szCs w:val="18"/>
        </w:rPr>
      </w:pPr>
      <w:r>
        <w:rPr>
          <w:szCs w:val="18"/>
        </w:rPr>
        <w:t>9.4乙方必须无条件接受甲方及监理方的安全监督、检查及整改，出现任何施工安全事故必须及时向甲方及监理方书面报告，不得隐瞒和擅自处理。</w:t>
      </w:r>
    </w:p>
    <w:p w14:paraId="28EA7B65">
      <w:pPr>
        <w:pStyle w:val="20"/>
        <w:adjustRightInd w:val="0"/>
        <w:snapToGrid w:val="0"/>
        <w:spacing w:before="0" w:beforeAutospacing="0" w:after="0" w:afterAutospacing="0" w:line="400" w:lineRule="exact"/>
        <w:ind w:firstLine="480"/>
        <w:rPr>
          <w:rFonts w:hint="default"/>
          <w:b/>
          <w:bCs/>
        </w:rPr>
      </w:pPr>
      <w:r>
        <w:rPr>
          <w:szCs w:val="18"/>
        </w:rPr>
        <w:t>9.5乙方施工人员及设备在当地（无论是施工现场，还是施工场地外）发生任何安全事故，均由乙方承担全部责任及全部费用。</w:t>
      </w:r>
    </w:p>
    <w:p w14:paraId="1C086B7B">
      <w:pPr>
        <w:pStyle w:val="20"/>
        <w:adjustRightInd w:val="0"/>
        <w:snapToGrid w:val="0"/>
        <w:spacing w:before="0" w:beforeAutospacing="0" w:after="0" w:afterAutospacing="0" w:line="400" w:lineRule="exact"/>
        <w:ind w:firstLine="480"/>
        <w:rPr>
          <w:rFonts w:hint="default"/>
          <w:szCs w:val="18"/>
        </w:rPr>
      </w:pPr>
      <w:r>
        <w:rPr>
          <w:b/>
          <w:bCs/>
        </w:rPr>
        <w:t>10、安全、文明施工</w:t>
      </w:r>
    </w:p>
    <w:p w14:paraId="4FF2104C">
      <w:pPr>
        <w:pStyle w:val="20"/>
        <w:adjustRightInd w:val="0"/>
        <w:snapToGrid w:val="0"/>
        <w:spacing w:before="0" w:beforeAutospacing="0" w:after="0" w:afterAutospacing="0" w:line="400" w:lineRule="exact"/>
        <w:ind w:firstLine="480" w:firstLineChars="200"/>
        <w:rPr>
          <w:rFonts w:hint="default"/>
          <w:szCs w:val="18"/>
        </w:rPr>
      </w:pPr>
      <w:r>
        <w:rPr>
          <w:szCs w:val="18"/>
        </w:rPr>
        <w:t>10.1乙方须遵守安全、文明施工管理规定，详见附件 。</w:t>
      </w:r>
    </w:p>
    <w:p w14:paraId="6A163949">
      <w:pPr>
        <w:pStyle w:val="20"/>
        <w:adjustRightInd w:val="0"/>
        <w:snapToGrid w:val="0"/>
        <w:spacing w:before="0" w:beforeAutospacing="0" w:after="0" w:afterAutospacing="0" w:line="400" w:lineRule="exact"/>
        <w:ind w:firstLine="480" w:firstLineChars="200"/>
        <w:rPr>
          <w:rFonts w:hint="default"/>
          <w:szCs w:val="18"/>
        </w:rPr>
      </w:pPr>
      <w:r>
        <w:rPr>
          <w:szCs w:val="18"/>
        </w:rPr>
        <w:t>10.2 乙方保障施工安全及工人安全，不得扰民及污染环境，施工过程中引起的诉讼问题由乙方承担一切责任。</w:t>
      </w:r>
    </w:p>
    <w:p w14:paraId="77E795A0">
      <w:pPr>
        <w:pStyle w:val="20"/>
        <w:adjustRightInd w:val="0"/>
        <w:snapToGrid w:val="0"/>
        <w:spacing w:before="0" w:beforeAutospacing="0" w:after="0" w:afterAutospacing="0" w:line="400" w:lineRule="exact"/>
        <w:ind w:firstLine="480" w:firstLineChars="200"/>
        <w:rPr>
          <w:rFonts w:hint="default"/>
          <w:szCs w:val="18"/>
        </w:rPr>
      </w:pPr>
      <w:r>
        <w:rPr>
          <w:szCs w:val="18"/>
        </w:rPr>
        <w:t>10.3乙方必须为其施工人员购买意外伤害保险，应对其进行安全培训，并对其安全负责，甲方不承担任何施工安全责任。</w:t>
      </w:r>
    </w:p>
    <w:p w14:paraId="696C26EA">
      <w:pPr>
        <w:pStyle w:val="20"/>
        <w:adjustRightInd w:val="0"/>
        <w:snapToGrid w:val="0"/>
        <w:spacing w:before="0" w:beforeAutospacing="0" w:after="0" w:afterAutospacing="0" w:line="400" w:lineRule="exact"/>
        <w:outlineLvl w:val="0"/>
        <w:rPr>
          <w:rFonts w:hint="default" w:eastAsia="黑体"/>
          <w:b/>
          <w:bCs/>
        </w:rPr>
      </w:pPr>
      <w:bookmarkStart w:id="519" w:name="_Toc152766738"/>
      <w:r>
        <w:rPr>
          <w:rFonts w:eastAsia="黑体"/>
          <w:b/>
          <w:bCs/>
        </w:rPr>
        <w:t>六、合同价款与支付</w:t>
      </w:r>
      <w:bookmarkEnd w:id="519"/>
      <w:r>
        <w:rPr>
          <w:rFonts w:eastAsia="黑体"/>
          <w:b/>
          <w:bCs/>
        </w:rPr>
        <w:t xml:space="preserve"> </w:t>
      </w:r>
    </w:p>
    <w:p w14:paraId="71DB71F7">
      <w:pPr>
        <w:pStyle w:val="20"/>
        <w:adjustRightInd w:val="0"/>
        <w:snapToGrid w:val="0"/>
        <w:spacing w:before="0" w:beforeAutospacing="0" w:after="0" w:afterAutospacing="0" w:line="400" w:lineRule="exact"/>
        <w:ind w:firstLine="480"/>
        <w:rPr>
          <w:rFonts w:hint="default"/>
          <w:b/>
          <w:bCs/>
        </w:rPr>
      </w:pPr>
      <w:r>
        <w:rPr>
          <w:b/>
          <w:bCs/>
        </w:rPr>
        <w:t xml:space="preserve">11、合同价款 </w:t>
      </w:r>
    </w:p>
    <w:p w14:paraId="020E5506">
      <w:pPr>
        <w:pStyle w:val="20"/>
        <w:adjustRightInd w:val="0"/>
        <w:snapToGrid w:val="0"/>
        <w:spacing w:before="0" w:beforeAutospacing="0" w:after="0" w:afterAutospacing="0" w:line="400" w:lineRule="exact"/>
        <w:ind w:firstLine="480" w:firstLineChars="200"/>
        <w:rPr>
          <w:rFonts w:hint="default"/>
          <w:szCs w:val="18"/>
        </w:rPr>
      </w:pPr>
      <w:r>
        <w:rPr>
          <w:szCs w:val="18"/>
        </w:rPr>
        <w:t>11.1本合同工程总价（含税）为：人民币：</w:t>
      </w:r>
      <w:r>
        <w:rPr>
          <w:rFonts w:ascii="仿宋_GB2312" w:eastAsia="仿宋_GB2312"/>
          <w:szCs w:val="18"/>
          <w:highlight w:val="yellow"/>
          <w:u w:val="single"/>
        </w:rPr>
        <w:t>XXXX</w:t>
      </w:r>
      <w:r>
        <w:rPr>
          <w:szCs w:val="18"/>
        </w:rPr>
        <w:t>元，即大写：</w:t>
      </w:r>
      <w:r>
        <w:rPr>
          <w:rFonts w:ascii="仿宋_GB2312" w:eastAsia="仿宋_GB2312"/>
          <w:szCs w:val="18"/>
          <w:highlight w:val="yellow"/>
          <w:u w:val="single"/>
        </w:rPr>
        <w:t>XXXX</w:t>
      </w:r>
      <w:r>
        <w:rPr>
          <w:rFonts w:ascii="仿宋_GB2312" w:eastAsia="仿宋_GB2312"/>
          <w:szCs w:val="18"/>
          <w:u w:val="single"/>
        </w:rPr>
        <w:t>元整</w:t>
      </w:r>
      <w:r>
        <w:rPr>
          <w:szCs w:val="18"/>
        </w:rPr>
        <w:t>（其中不含税金额</w:t>
      </w:r>
      <w:r>
        <w:rPr>
          <w:rFonts w:ascii="仿宋_GB2312" w:eastAsia="仿宋_GB2312"/>
          <w:szCs w:val="18"/>
          <w:highlight w:val="yellow"/>
          <w:u w:val="single"/>
        </w:rPr>
        <w:t>XXXX</w:t>
      </w:r>
      <w:r>
        <w:rPr>
          <w:szCs w:val="18"/>
        </w:rPr>
        <w:t>元，增值税税额</w:t>
      </w:r>
      <w:r>
        <w:rPr>
          <w:rFonts w:ascii="仿宋_GB2312" w:eastAsia="仿宋_GB2312"/>
          <w:szCs w:val="18"/>
          <w:highlight w:val="yellow"/>
          <w:u w:val="single"/>
        </w:rPr>
        <w:t>XXXX</w:t>
      </w:r>
      <w:r>
        <w:rPr>
          <w:szCs w:val="18"/>
        </w:rPr>
        <w:t>元，含税金额=不含税金额+增值税税额，税率</w:t>
      </w:r>
      <w:r>
        <w:rPr>
          <w:rFonts w:ascii="仿宋_GB2312" w:eastAsia="仿宋_GB2312"/>
          <w:szCs w:val="18"/>
          <w:highlight w:val="yellow"/>
          <w:u w:val="single"/>
        </w:rPr>
        <w:t>XX</w:t>
      </w:r>
      <w:r>
        <w:rPr>
          <w:szCs w:val="18"/>
        </w:rPr>
        <w:t>%）。</w:t>
      </w:r>
    </w:p>
    <w:p w14:paraId="2B36BACC">
      <w:pPr>
        <w:pStyle w:val="20"/>
        <w:adjustRightInd w:val="0"/>
        <w:snapToGrid w:val="0"/>
        <w:spacing w:before="0" w:beforeAutospacing="0" w:after="0" w:afterAutospacing="0" w:line="400" w:lineRule="exact"/>
        <w:ind w:firstLine="482" w:firstLineChars="200"/>
        <w:rPr>
          <w:rFonts w:hint="default"/>
          <w:szCs w:val="18"/>
        </w:rPr>
      </w:pPr>
      <w:r>
        <w:rPr>
          <w:b/>
          <w:szCs w:val="18"/>
          <w:u w:val="single"/>
        </w:rPr>
        <w:t>本工程合同价为招标施工图工程范围包干价，（包工包料、包质量、包安全文明施工），招标施工图所有工作内容均在合同价内包干（含安全文明施工及其他施工措施费用</w:t>
      </w:r>
      <w:r>
        <w:rPr>
          <w:rFonts w:hint="default"/>
          <w:b/>
          <w:szCs w:val="18"/>
          <w:u w:val="single"/>
        </w:rPr>
        <w:t>）</w:t>
      </w:r>
      <w:r>
        <w:rPr>
          <w:b/>
          <w:szCs w:val="18"/>
          <w:u w:val="single"/>
        </w:rPr>
        <w:t>。</w:t>
      </w:r>
      <w:r>
        <w:rPr>
          <w:szCs w:val="18"/>
        </w:rPr>
        <w:t>分项价格见附件3。</w:t>
      </w:r>
      <w:r>
        <w:rPr>
          <w:szCs w:val="18"/>
          <w:highlight w:val="yellow"/>
        </w:rPr>
        <w:t>（增项的结算约定根据项目内容及实际审计政策情况另行约定。）</w:t>
      </w:r>
    </w:p>
    <w:p w14:paraId="2B3C183E">
      <w:pPr>
        <w:pStyle w:val="20"/>
        <w:adjustRightInd w:val="0"/>
        <w:snapToGrid w:val="0"/>
        <w:spacing w:before="0" w:beforeAutospacing="0" w:after="0" w:afterAutospacing="0" w:line="400" w:lineRule="exact"/>
        <w:ind w:firstLine="482" w:firstLineChars="200"/>
        <w:rPr>
          <w:rFonts w:hint="default" w:ascii="Times New Roman" w:hAnsi="Times New Roman"/>
          <w:szCs w:val="18"/>
        </w:rPr>
      </w:pPr>
      <w:r>
        <w:rPr>
          <w:rFonts w:ascii="Times New Roman"/>
          <w:b/>
          <w:color w:val="000000"/>
          <w:szCs w:val="18"/>
        </w:rPr>
        <w:t>备注：</w:t>
      </w:r>
      <w:r>
        <w:rPr>
          <w:rFonts w:ascii="Times New Roman" w:hAnsi="Times New Roman"/>
          <w:b/>
          <w:szCs w:val="18"/>
        </w:rPr>
        <w:t>乙方须能保证现场施工人员配备统一PPE（安全帽、劳保鞋、工作服、护目镜），所有参与高处作业人员必须穿戴全身式安全带。同时做基坑、孔洞类安全防护时，必须是硬质围挡。此为乙方责任，每次出现与上述情况不一致的问题则按照《合同附件5：健康安全协议》相关要求扣罚（从工程款中扣除）</w:t>
      </w:r>
      <w:r>
        <w:rPr>
          <w:rFonts w:ascii="Times New Roman" w:hAnsi="Times New Roman"/>
          <w:szCs w:val="18"/>
        </w:rPr>
        <w:t>。</w:t>
      </w:r>
    </w:p>
    <w:p w14:paraId="4968F6EA">
      <w:pPr>
        <w:pStyle w:val="20"/>
        <w:adjustRightInd w:val="0"/>
        <w:snapToGrid w:val="0"/>
        <w:spacing w:before="0" w:beforeAutospacing="0" w:after="0" w:afterAutospacing="0" w:line="400" w:lineRule="exact"/>
        <w:ind w:firstLine="480"/>
        <w:rPr>
          <w:rFonts w:hint="default"/>
          <w:b/>
          <w:bCs/>
        </w:rPr>
      </w:pPr>
      <w:r>
        <w:rPr>
          <w:b/>
          <w:bCs/>
        </w:rPr>
        <w:t>12、合同价款的调整</w:t>
      </w:r>
    </w:p>
    <w:p w14:paraId="5C6DF8B1">
      <w:pPr>
        <w:pStyle w:val="20"/>
        <w:adjustRightInd w:val="0"/>
        <w:snapToGrid w:val="0"/>
        <w:spacing w:before="0" w:beforeAutospacing="0" w:after="0" w:afterAutospacing="0" w:line="360" w:lineRule="auto"/>
        <w:ind w:firstLine="480"/>
        <w:rPr>
          <w:rFonts w:hint="default"/>
          <w:szCs w:val="18"/>
        </w:rPr>
      </w:pPr>
      <w:r>
        <w:rPr>
          <w:szCs w:val="18"/>
        </w:rPr>
        <w:t>12.1乙方已经充分踏勘并了解现场情况，</w:t>
      </w:r>
      <w:r>
        <w:t>投标报价不明确的地方已经全部包含投标总价内，后期若图纸无变更，乙方不得因任何图纸与投标清单不符或施工现场与图纸不符的原因向甲方所有签证或工程量增补的费用。</w:t>
      </w:r>
      <w:r>
        <w:rPr>
          <w:szCs w:val="18"/>
        </w:rPr>
        <w:t xml:space="preserve"> 乙方认同</w:t>
      </w:r>
      <w:r>
        <w:t>招标文件（招标清单+招标图纸+现场踏勘+招标澄清答疑的内容）</w:t>
      </w:r>
      <w:bookmarkStart w:id="537" w:name="_GoBack"/>
      <w:r>
        <w:t>全部工程内容为合同总包干范围，认同规范要求的所有工序为包干范围；如未实际发生工程量，但在投标工程量清单中进行报价的工程量，同意予以扣减</w:t>
      </w:r>
    </w:p>
    <w:bookmarkEnd w:id="537"/>
    <w:p w14:paraId="76EA44B7">
      <w:pPr>
        <w:pStyle w:val="20"/>
        <w:adjustRightInd w:val="0"/>
        <w:snapToGrid w:val="0"/>
        <w:spacing w:before="0" w:beforeAutospacing="0" w:after="0" w:afterAutospacing="0" w:line="360" w:lineRule="auto"/>
        <w:ind w:firstLine="480"/>
        <w:rPr>
          <w:rFonts w:hint="default"/>
          <w:szCs w:val="18"/>
        </w:rPr>
      </w:pPr>
      <w:r>
        <w:rPr>
          <w:szCs w:val="18"/>
        </w:rPr>
        <w:t xml:space="preserve">12.2乙方自行超出设计图纸范围（含设计变更范围）和因乙方原因造成返工的工程量，甲方不予计量。 </w:t>
      </w:r>
    </w:p>
    <w:p w14:paraId="3EF6C03B">
      <w:pPr>
        <w:pStyle w:val="20"/>
        <w:adjustRightInd w:val="0"/>
        <w:snapToGrid w:val="0"/>
        <w:spacing w:before="0" w:beforeAutospacing="0" w:after="0" w:afterAutospacing="0" w:line="400" w:lineRule="exact"/>
        <w:ind w:firstLine="480"/>
        <w:rPr>
          <w:rFonts w:hint="default"/>
          <w:b/>
          <w:bCs/>
        </w:rPr>
      </w:pPr>
      <w:r>
        <w:rPr>
          <w:szCs w:val="18"/>
        </w:rPr>
        <w:t>12.3本工程所有材料价格因市场价格波动原因需调差的，按照本合同专用条款第15条材料供应中的约定进行调差。</w:t>
      </w:r>
    </w:p>
    <w:p w14:paraId="0E969BB7">
      <w:pPr>
        <w:adjustRightInd w:val="0"/>
        <w:snapToGrid w:val="0"/>
        <w:spacing w:line="400" w:lineRule="exact"/>
        <w:ind w:firstLine="480" w:firstLineChars="200"/>
        <w:rPr>
          <w:rFonts w:ascii="宋体" w:hAnsi="宋体"/>
          <w:sz w:val="24"/>
        </w:rPr>
      </w:pPr>
      <w:r>
        <w:rPr>
          <w:rFonts w:hint="eastAsia" w:ascii="宋体" w:hAnsi="宋体"/>
          <w:sz w:val="24"/>
        </w:rPr>
        <w:t>12.4本工程设计变更须在变更通知之日起30天内根据专用条款约定据实增减费用并签订补充协议，结算时不再计算新增费用。设计变更计价规则如下：</w:t>
      </w:r>
    </w:p>
    <w:p w14:paraId="0BAF65A0">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本工程基础土石方工程中的土方开挖、挖方土回填、外运土回填依据图纸计算包干价；</w:t>
      </w:r>
    </w:p>
    <w:p w14:paraId="6C99E6E3">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已标价工程量清单中已有适用于变更工程项目的，采用该项目合同工程量清单对应综合单价；另外，如变更工程子项，相同的项目清单（或项目特征相同）在不同的单项工程有多个报价，变更工程子项单价采用上述项目清单多个报价的平均值。</w:t>
      </w:r>
    </w:p>
    <w:p w14:paraId="403DE2CA">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已标价工程量清单中没有适用但有类似于项目的，可在合理范围内(时间及施工区域等)参照类似项目的单价。</w:t>
      </w:r>
    </w:p>
    <w:p w14:paraId="7C102C45">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已标价工程量清单中没有适用也没有类似于项目的，按照招标</w:t>
      </w:r>
      <w:r>
        <w:rPr>
          <w:rFonts w:ascii="宋体" w:hAnsi="宋体"/>
          <w:sz w:val="24"/>
        </w:rPr>
        <w:t>定额及其配套文件</w:t>
      </w:r>
      <w:r>
        <w:rPr>
          <w:rFonts w:hint="eastAsia" w:ascii="宋体" w:hAnsi="宋体"/>
          <w:sz w:val="24"/>
        </w:rPr>
        <w:t>计算，优惠比例按照下述执行：</w:t>
      </w:r>
    </w:p>
    <w:p w14:paraId="11F8BE2B">
      <w:pPr>
        <w:pStyle w:val="176"/>
        <w:adjustRightInd w:val="0"/>
        <w:snapToGrid w:val="0"/>
        <w:spacing w:line="400" w:lineRule="exact"/>
        <w:ind w:firstLine="480"/>
        <w:rPr>
          <w:rFonts w:ascii="宋体" w:hAnsi="宋体"/>
          <w:sz w:val="24"/>
        </w:rPr>
      </w:pPr>
      <w:r>
        <w:rPr>
          <w:rFonts w:hint="eastAsia" w:ascii="宋体" w:hAnsi="宋体"/>
          <w:sz w:val="24"/>
        </w:rPr>
        <w:t>①土石方工程依据招标执行定额整体下浮30%执行</w:t>
      </w:r>
    </w:p>
    <w:p w14:paraId="37D97364">
      <w:pPr>
        <w:pStyle w:val="176"/>
        <w:adjustRightInd w:val="0"/>
        <w:snapToGrid w:val="0"/>
        <w:spacing w:line="400" w:lineRule="exact"/>
        <w:ind w:firstLine="480"/>
        <w:rPr>
          <w:rFonts w:ascii="宋体" w:hAnsi="宋体"/>
          <w:sz w:val="24"/>
        </w:rPr>
      </w:pPr>
      <w:r>
        <w:rPr>
          <w:rFonts w:hint="eastAsia" w:ascii="宋体" w:hAnsi="宋体"/>
          <w:sz w:val="24"/>
        </w:rPr>
        <w:t>②钢筋及钢构工程依据地方的消耗量定额、网刊的信息价格和地方规定的取费标准执行</w:t>
      </w:r>
    </w:p>
    <w:p w14:paraId="23CF020F">
      <w:pPr>
        <w:pStyle w:val="176"/>
        <w:adjustRightInd w:val="0"/>
        <w:snapToGrid w:val="0"/>
        <w:spacing w:line="400" w:lineRule="exact"/>
        <w:ind w:firstLine="480"/>
        <w:rPr>
          <w:rFonts w:ascii="宋体" w:hAnsi="宋体"/>
          <w:sz w:val="24"/>
        </w:rPr>
      </w:pPr>
      <w:r>
        <w:rPr>
          <w:rFonts w:hint="eastAsia" w:ascii="宋体" w:hAnsi="宋体"/>
          <w:sz w:val="24"/>
        </w:rPr>
        <w:t>③混凝土工程（含模板）依据招标执行定额整体下浮15%执行。</w:t>
      </w:r>
    </w:p>
    <w:p w14:paraId="23611B57">
      <w:pPr>
        <w:pStyle w:val="176"/>
        <w:adjustRightInd w:val="0"/>
        <w:snapToGrid w:val="0"/>
        <w:spacing w:line="400" w:lineRule="exact"/>
        <w:ind w:firstLine="480"/>
        <w:rPr>
          <w:rFonts w:ascii="宋体" w:hAnsi="宋体"/>
          <w:sz w:val="24"/>
        </w:rPr>
      </w:pPr>
      <w:r>
        <w:rPr>
          <w:rFonts w:hint="eastAsia" w:ascii="宋体" w:hAnsi="宋体"/>
          <w:sz w:val="24"/>
        </w:rPr>
        <w:t xml:space="preserve">④其他未提及的定额项目暂按招标执行定额整体下浮8%执行。  </w:t>
      </w:r>
    </w:p>
    <w:p w14:paraId="79AC1424">
      <w:pPr>
        <w:pStyle w:val="176"/>
        <w:numPr>
          <w:ilvl w:val="0"/>
          <w:numId w:val="3"/>
        </w:numPr>
        <w:adjustRightInd w:val="0"/>
        <w:snapToGrid w:val="0"/>
        <w:spacing w:line="360" w:lineRule="auto"/>
        <w:ind w:left="0" w:firstLine="480"/>
        <w:rPr>
          <w:rFonts w:ascii="宋体" w:hAnsi="宋体"/>
          <w:sz w:val="24"/>
        </w:rPr>
      </w:pPr>
      <w:r>
        <w:rPr>
          <w:rFonts w:hint="eastAsia" w:ascii="宋体" w:hAnsi="宋体"/>
          <w:sz w:val="24"/>
        </w:rPr>
        <w:t>项目安全文明施工费用在本合同内包干，补充协议不再计入，且在项目预竣工结算时以安全经理（无安全经理时由项目经理确认）核对最终金额支付。</w:t>
      </w:r>
    </w:p>
    <w:p w14:paraId="4688CF46">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隐蔽工程和变更工程必须在隐蔽前办理完变更签证手续，若没有办理签证手续而隐蔽，导致工程量无法核实，则不予认可该变更。</w:t>
      </w:r>
    </w:p>
    <w:p w14:paraId="0C6FE34F">
      <w:pPr>
        <w:pStyle w:val="176"/>
        <w:numPr>
          <w:ilvl w:val="0"/>
          <w:numId w:val="3"/>
        </w:numPr>
        <w:adjustRightInd w:val="0"/>
        <w:snapToGrid w:val="0"/>
        <w:spacing w:line="400" w:lineRule="exact"/>
        <w:ind w:left="0" w:firstLine="480"/>
        <w:rPr>
          <w:rFonts w:ascii="宋体" w:hAnsi="宋体"/>
          <w:sz w:val="24"/>
        </w:rPr>
      </w:pPr>
      <w:r>
        <w:rPr>
          <w:rFonts w:hint="eastAsia" w:ascii="宋体" w:hAnsi="宋体"/>
          <w:sz w:val="24"/>
        </w:rPr>
        <w:t>隐蔽工程必须有清晰完整的录影资料备查，录影资料包括但不限于影像中的边界尺寸、深度标尺、材料的类型和数量计量等，否则不予结算。</w:t>
      </w:r>
    </w:p>
    <w:p w14:paraId="6A64756C">
      <w:pPr>
        <w:numPr>
          <w:ilvl w:val="0"/>
          <w:numId w:val="3"/>
        </w:numPr>
        <w:spacing w:line="400" w:lineRule="exact"/>
        <w:ind w:left="0" w:firstLine="480" w:firstLineChars="200"/>
        <w:rPr>
          <w:rFonts w:ascii="宋体" w:hAnsi="宋体"/>
          <w:sz w:val="24"/>
        </w:rPr>
      </w:pPr>
      <w:r>
        <w:rPr>
          <w:rFonts w:hint="eastAsia" w:ascii="宋体" w:hAnsi="宋体"/>
          <w:sz w:val="24"/>
        </w:rPr>
        <w:t>招标合同外另行的所有签证内容，按合同规定编制预算送审，如经第三方审计机构审定比例如超过10%，超出部分的审减服务费由施工方承担。上述审减服务费将从补充协议中扣减。</w:t>
      </w:r>
    </w:p>
    <w:p w14:paraId="48808E24">
      <w:pPr>
        <w:spacing w:line="400" w:lineRule="exact"/>
        <w:ind w:firstLine="480" w:firstLineChars="200"/>
        <w:jc w:val="left"/>
        <w:rPr>
          <w:sz w:val="24"/>
        </w:rPr>
      </w:pPr>
      <w:r>
        <w:rPr>
          <w:rFonts w:hint="eastAsia"/>
          <w:sz w:val="24"/>
        </w:rPr>
        <w:t>【其中：审定比例=（送审金额-审定金额）/送审金额；</w:t>
      </w:r>
    </w:p>
    <w:p w14:paraId="35B31E3C">
      <w:pPr>
        <w:spacing w:line="400" w:lineRule="exact"/>
        <w:ind w:firstLine="480" w:firstLineChars="200"/>
        <w:jc w:val="left"/>
        <w:rPr>
          <w:sz w:val="24"/>
        </w:rPr>
      </w:pPr>
      <w:r>
        <w:rPr>
          <w:rFonts w:hint="eastAsia"/>
          <w:sz w:val="24"/>
        </w:rPr>
        <w:t xml:space="preserve">        超出部分的审减服务费=（送审金额*90%-审定金额）*0.034】</w:t>
      </w:r>
    </w:p>
    <w:p w14:paraId="68874A67">
      <w:pPr>
        <w:pStyle w:val="20"/>
        <w:adjustRightInd w:val="0"/>
        <w:snapToGrid w:val="0"/>
        <w:spacing w:before="0" w:beforeAutospacing="0" w:after="0" w:afterAutospacing="0" w:line="400" w:lineRule="exact"/>
        <w:ind w:firstLine="480"/>
        <w:rPr>
          <w:rFonts w:hint="default"/>
          <w:b/>
          <w:bCs/>
        </w:rPr>
      </w:pPr>
      <w:r>
        <w:rPr>
          <w:b/>
          <w:bCs/>
        </w:rPr>
        <w:t xml:space="preserve">13、工程量确认 </w:t>
      </w:r>
    </w:p>
    <w:p w14:paraId="3E20B991">
      <w:pPr>
        <w:pStyle w:val="20"/>
        <w:adjustRightInd w:val="0"/>
        <w:snapToGrid w:val="0"/>
        <w:spacing w:before="0" w:beforeAutospacing="0" w:after="0" w:afterAutospacing="0" w:line="400" w:lineRule="exact"/>
        <w:ind w:firstLine="480" w:firstLineChars="200"/>
        <w:rPr>
          <w:rFonts w:hint="default"/>
          <w:szCs w:val="18"/>
        </w:rPr>
      </w:pPr>
      <w:r>
        <w:rPr>
          <w:szCs w:val="18"/>
        </w:rPr>
        <w:t>13.1乙方应按《专用条款》约定的时间，向甲方提交已完工程量的报告。甲方接到报告后</w:t>
      </w:r>
      <w:r>
        <w:rPr>
          <w:rFonts w:hint="default"/>
          <w:szCs w:val="18"/>
        </w:rPr>
        <w:t>7天内按设计图纸核实已完工程量（以下称计量），并经监理单位复核后共同签认，甲方在计量前24小时通知乙方，乙方为计量提供便利条件并派人参加。乙方收到通知后不参加计量，计量结果有效，作为工程价款支付的依据。</w:t>
      </w:r>
    </w:p>
    <w:p w14:paraId="566B3B33">
      <w:pPr>
        <w:pStyle w:val="20"/>
        <w:adjustRightInd w:val="0"/>
        <w:snapToGrid w:val="0"/>
        <w:spacing w:before="0" w:beforeAutospacing="0" w:after="0" w:afterAutospacing="0" w:line="400" w:lineRule="exact"/>
        <w:ind w:firstLine="480" w:firstLineChars="200"/>
        <w:rPr>
          <w:rFonts w:hint="default"/>
          <w:szCs w:val="18"/>
        </w:rPr>
      </w:pPr>
      <w:r>
        <w:rPr>
          <w:szCs w:val="18"/>
        </w:rPr>
        <w:t>13.2甲方收到乙方报告后</w:t>
      </w:r>
      <w:r>
        <w:rPr>
          <w:rFonts w:hint="default"/>
          <w:szCs w:val="18"/>
        </w:rPr>
        <w:t>7天内未进行计量，从第8天起，乙方报告中开列的工程量即视为被确认，作为工程价款支付的依据。</w:t>
      </w:r>
    </w:p>
    <w:p w14:paraId="1C1A59DD">
      <w:pPr>
        <w:pStyle w:val="20"/>
        <w:adjustRightInd w:val="0"/>
        <w:snapToGrid w:val="0"/>
        <w:spacing w:before="0" w:beforeAutospacing="0" w:after="0" w:afterAutospacing="0" w:line="400" w:lineRule="exact"/>
        <w:ind w:firstLine="480" w:firstLineChars="200"/>
        <w:rPr>
          <w:rFonts w:hint="default"/>
          <w:szCs w:val="18"/>
          <w:u w:val="single"/>
        </w:rPr>
      </w:pPr>
      <w:r>
        <w:rPr>
          <w:szCs w:val="18"/>
        </w:rPr>
        <w:t>13.3乙方向甲方提交已完工程量报告的时间：</w:t>
      </w:r>
      <w:r>
        <w:rPr>
          <w:szCs w:val="18"/>
          <w:u w:val="single"/>
        </w:rPr>
        <w:t>每月20日前及竣工验收后30天内。</w:t>
      </w:r>
    </w:p>
    <w:p w14:paraId="53342BCA">
      <w:pPr>
        <w:pStyle w:val="20"/>
        <w:adjustRightInd w:val="0"/>
        <w:snapToGrid w:val="0"/>
        <w:spacing w:before="0" w:beforeAutospacing="0" w:after="0" w:afterAutospacing="0" w:line="400" w:lineRule="exact"/>
        <w:ind w:firstLine="480" w:firstLineChars="200"/>
        <w:rPr>
          <w:rFonts w:hint="default"/>
          <w:szCs w:val="18"/>
        </w:rPr>
      </w:pPr>
      <w:r>
        <w:rPr>
          <w:szCs w:val="18"/>
        </w:rPr>
        <w:t xml:space="preserve">13.4工程项目“应完未完”处置原则 </w:t>
      </w:r>
    </w:p>
    <w:p w14:paraId="180D5645">
      <w:pPr>
        <w:pStyle w:val="20"/>
        <w:adjustRightInd w:val="0"/>
        <w:snapToGrid w:val="0"/>
        <w:spacing w:before="0" w:beforeAutospacing="0" w:after="0" w:afterAutospacing="0" w:line="400" w:lineRule="exact"/>
        <w:ind w:firstLine="480" w:firstLineChars="200"/>
        <w:rPr>
          <w:rFonts w:hint="default"/>
          <w:szCs w:val="18"/>
        </w:rPr>
      </w:pPr>
      <w:r>
        <w:rPr>
          <w:szCs w:val="18"/>
        </w:rPr>
        <w:t>合同内工程项目“应完未完”，甲方将下达施工整改要求及整改限定时间（邮件、微信、文件均可），施工方10天内未响应（组织有效数量的人员施工）或未在限定时间内完成整改的，甲方有权将按照“处置原则”操作。</w:t>
      </w:r>
    </w:p>
    <w:p w14:paraId="0EE0E82C">
      <w:pPr>
        <w:pStyle w:val="20"/>
        <w:adjustRightInd w:val="0"/>
        <w:snapToGrid w:val="0"/>
        <w:spacing w:before="0" w:beforeAutospacing="0" w:after="0" w:afterAutospacing="0" w:line="400" w:lineRule="exact"/>
        <w:ind w:firstLine="480" w:firstLineChars="200"/>
        <w:rPr>
          <w:rFonts w:hint="default"/>
          <w:szCs w:val="18"/>
        </w:rPr>
      </w:pPr>
      <w:r>
        <w:rPr>
          <w:szCs w:val="18"/>
        </w:rPr>
        <w:t>13.4.1. 名词解释：</w:t>
      </w:r>
    </w:p>
    <w:p w14:paraId="49BAECA4">
      <w:pPr>
        <w:pStyle w:val="20"/>
        <w:adjustRightInd w:val="0"/>
        <w:snapToGrid w:val="0"/>
        <w:spacing w:before="0" w:beforeAutospacing="0" w:after="0" w:afterAutospacing="0" w:line="400" w:lineRule="exact"/>
        <w:ind w:firstLine="480" w:firstLineChars="200"/>
        <w:rPr>
          <w:rFonts w:hint="default"/>
          <w:szCs w:val="18"/>
        </w:rPr>
      </w:pPr>
      <w:r>
        <w:rPr>
          <w:szCs w:val="18"/>
        </w:rPr>
        <w:t xml:space="preserve">工程项目“应完未完”是指根据协议，应当由施工方建设完成的合同内工程项目，施工方因自身原因未施工或未严格按图纸设计要求施工的情况。不包括因甲方原因提出的设计变更或暂停施工等项目。 </w:t>
      </w:r>
    </w:p>
    <w:p w14:paraId="191411A0">
      <w:pPr>
        <w:pStyle w:val="20"/>
        <w:adjustRightInd w:val="0"/>
        <w:snapToGrid w:val="0"/>
        <w:spacing w:before="0" w:beforeAutospacing="0" w:after="0" w:afterAutospacing="0" w:line="400" w:lineRule="exact"/>
        <w:ind w:firstLine="480" w:firstLineChars="200"/>
        <w:rPr>
          <w:rFonts w:hint="default"/>
          <w:szCs w:val="18"/>
        </w:rPr>
      </w:pPr>
      <w:r>
        <w:rPr>
          <w:szCs w:val="18"/>
        </w:rPr>
        <w:t>13.4.2.  处置原则</w:t>
      </w:r>
    </w:p>
    <w:p w14:paraId="55346662">
      <w:pPr>
        <w:pStyle w:val="20"/>
        <w:adjustRightInd w:val="0"/>
        <w:snapToGrid w:val="0"/>
        <w:spacing w:before="0" w:beforeAutospacing="0" w:after="0" w:afterAutospacing="0" w:line="400" w:lineRule="exact"/>
        <w:ind w:firstLine="480" w:firstLineChars="200"/>
        <w:rPr>
          <w:rFonts w:hint="default"/>
          <w:szCs w:val="18"/>
        </w:rPr>
      </w:pPr>
      <w:r>
        <w:rPr>
          <w:szCs w:val="18"/>
        </w:rPr>
        <w:t>“应完未完”工程，由施工方限期（7个工作日内）完成整改。拒不整改或施工方无匹配资源完成整改的，由甲方安排新单位整改。新单位整改金额低于原合同的，按原合同金额扣减合同款项；新单位整改金额大于原合同金额的，按新单位整改实际费用额度从原合同款中扣减。</w:t>
      </w:r>
    </w:p>
    <w:p w14:paraId="088C5D57">
      <w:pPr>
        <w:pStyle w:val="20"/>
        <w:adjustRightInd w:val="0"/>
        <w:snapToGrid w:val="0"/>
        <w:spacing w:before="0" w:beforeAutospacing="0" w:after="0" w:afterAutospacing="0" w:line="400" w:lineRule="exact"/>
        <w:ind w:firstLine="480"/>
        <w:rPr>
          <w:rFonts w:hint="default"/>
          <w:b/>
          <w:bCs/>
        </w:rPr>
      </w:pPr>
      <w:r>
        <w:rPr>
          <w:b/>
          <w:bCs/>
        </w:rPr>
        <w:t xml:space="preserve">14、工程款（或进度款）支付 </w:t>
      </w:r>
    </w:p>
    <w:p w14:paraId="46C6FDFF">
      <w:pPr>
        <w:spacing w:line="400" w:lineRule="exact"/>
        <w:ind w:firstLine="420" w:firstLineChars="200"/>
        <w:rPr>
          <w:szCs w:val="18"/>
        </w:rPr>
      </w:pPr>
      <w:r>
        <w:rPr>
          <w:szCs w:val="18"/>
        </w:rPr>
        <w:t>14.1在工程竣工、验收合格并提交工程竣工验收资料后，同时提供合同总金额80%</w:t>
      </w:r>
      <w:r>
        <w:rPr>
          <w:rFonts w:hint="eastAsia"/>
          <w:szCs w:val="18"/>
        </w:rPr>
        <w:t>的</w:t>
      </w:r>
      <w:r>
        <w:rPr>
          <w:szCs w:val="18"/>
        </w:rPr>
        <w:t>增值税专用发票，甲方办理预竣工结算，支付至合同总金额80%。</w:t>
      </w:r>
    </w:p>
    <w:p w14:paraId="72579A8D">
      <w:pPr>
        <w:spacing w:line="400" w:lineRule="exact"/>
        <w:ind w:firstLine="420" w:firstLineChars="200"/>
        <w:rPr>
          <w:sz w:val="24"/>
        </w:rPr>
      </w:pPr>
      <w:r>
        <w:rPr>
          <w:rFonts w:hint="eastAsia"/>
          <w:szCs w:val="18"/>
        </w:rPr>
        <w:t>注：</w:t>
      </w:r>
      <w:r>
        <w:rPr>
          <w:szCs w:val="18"/>
        </w:rPr>
        <w:t>在出具造价审核结论之前，不得支付超过合同总金额80%。在出具造价审核结论之后，根据结论结果开具对应尾款发票办理正式竣工结算，支付至结算总额的9</w:t>
      </w:r>
      <w:r>
        <w:rPr>
          <w:rFonts w:hint="eastAsia"/>
          <w:szCs w:val="18"/>
          <w:lang w:val="en-US" w:eastAsia="zh-CN"/>
        </w:rPr>
        <w:t>0</w:t>
      </w:r>
      <w:r>
        <w:rPr>
          <w:szCs w:val="18"/>
        </w:rPr>
        <w:t>%。结算总额</w:t>
      </w:r>
      <w:r>
        <w:rPr>
          <w:rFonts w:hint="eastAsia"/>
          <w:szCs w:val="18"/>
          <w:lang w:val="en-US" w:eastAsia="zh-CN"/>
        </w:rPr>
        <w:t>10</w:t>
      </w:r>
      <w:r>
        <w:rPr>
          <w:szCs w:val="18"/>
        </w:rPr>
        <w:t>%为合同质保金，在质保期满后无任何质量问题，甲方在一个月内付清质保金。合同工程保修期开始时间为合同工程办理竣工结算之日算起。</w:t>
      </w:r>
    </w:p>
    <w:p w14:paraId="28F1D263">
      <w:pPr>
        <w:spacing w:line="400" w:lineRule="exact"/>
        <w:ind w:firstLine="480" w:firstLineChars="200"/>
        <w:rPr>
          <w:sz w:val="24"/>
        </w:rPr>
      </w:pPr>
      <w:r>
        <w:rPr>
          <w:rFonts w:hint="eastAsia"/>
          <w:sz w:val="24"/>
        </w:rPr>
        <w:t>14.3如甲方发现乙方未按合同约定施工、或施工不符合甲方要求、或质量不符合合同约定，甲方有权拒绝按合同约定支付工程款，甲方无需承担逾期付款的违约责任，但甲方有权追究乙方造成工期、质量等损失的违约责任。</w:t>
      </w:r>
    </w:p>
    <w:p w14:paraId="51E5B1E6">
      <w:pPr>
        <w:pStyle w:val="20"/>
        <w:adjustRightInd w:val="0"/>
        <w:snapToGrid w:val="0"/>
        <w:spacing w:before="0" w:beforeAutospacing="0" w:after="0" w:afterAutospacing="0" w:line="400" w:lineRule="exact"/>
        <w:outlineLvl w:val="0"/>
        <w:rPr>
          <w:rFonts w:hint="default" w:eastAsia="黑体"/>
          <w:b/>
          <w:bCs/>
          <w:sz w:val="28"/>
          <w:szCs w:val="18"/>
        </w:rPr>
      </w:pPr>
      <w:bookmarkStart w:id="520" w:name="_Toc152766739"/>
      <w:r>
        <w:rPr>
          <w:rFonts w:eastAsia="黑体"/>
          <w:b/>
          <w:bCs/>
        </w:rPr>
        <w:t>七、材料设备供应</w:t>
      </w:r>
      <w:bookmarkEnd w:id="520"/>
      <w:r>
        <w:rPr>
          <w:rFonts w:eastAsia="黑体"/>
          <w:b/>
          <w:bCs/>
          <w:sz w:val="28"/>
          <w:szCs w:val="18"/>
        </w:rPr>
        <w:t xml:space="preserve"> </w:t>
      </w:r>
    </w:p>
    <w:p w14:paraId="53A42A39">
      <w:pPr>
        <w:pStyle w:val="20"/>
        <w:adjustRightInd w:val="0"/>
        <w:snapToGrid w:val="0"/>
        <w:spacing w:before="0" w:beforeAutospacing="0" w:after="0" w:afterAutospacing="0" w:line="400" w:lineRule="exact"/>
        <w:ind w:left="420" w:leftChars="200"/>
        <w:rPr>
          <w:rFonts w:hint="default"/>
          <w:b/>
          <w:bCs/>
        </w:rPr>
      </w:pPr>
      <w:r>
        <w:rPr>
          <w:b/>
          <w:bCs/>
        </w:rPr>
        <w:t xml:space="preserve">15、材料供应 </w:t>
      </w:r>
    </w:p>
    <w:p w14:paraId="33FDF1ED">
      <w:pPr>
        <w:pStyle w:val="20"/>
        <w:adjustRightInd w:val="0"/>
        <w:snapToGrid w:val="0"/>
        <w:spacing w:before="0" w:beforeAutospacing="0" w:after="0" w:afterAutospacing="0" w:line="400" w:lineRule="exact"/>
        <w:ind w:firstLine="600" w:firstLineChars="250"/>
        <w:rPr>
          <w:rFonts w:hint="default"/>
          <w:szCs w:val="18"/>
        </w:rPr>
      </w:pPr>
      <w:r>
        <w:rPr>
          <w:szCs w:val="18"/>
        </w:rPr>
        <w:t>15.1本工程所需材料由乙方自行采购，但必须使用华新旗下所生产的相关建材（如水泥等），必须是出具检验报告的合格产品。 乙方采购的材料均应保证质量，因材料质量发生的问题，由乙方负责。</w:t>
      </w:r>
      <w:r>
        <w:t>材料价格无论发生任何价格波动均不调整。</w:t>
      </w:r>
    </w:p>
    <w:p w14:paraId="51F3D34E">
      <w:pPr>
        <w:pStyle w:val="20"/>
        <w:adjustRightInd w:val="0"/>
        <w:snapToGrid w:val="0"/>
        <w:spacing w:before="0" w:beforeAutospacing="0" w:after="0" w:afterAutospacing="0" w:line="400" w:lineRule="exact"/>
        <w:outlineLvl w:val="0"/>
        <w:rPr>
          <w:rFonts w:hint="default" w:eastAsia="黑体"/>
          <w:b/>
          <w:bCs/>
        </w:rPr>
      </w:pPr>
      <w:bookmarkStart w:id="521" w:name="_Toc152766740"/>
      <w:r>
        <w:rPr>
          <w:rFonts w:eastAsia="黑体"/>
          <w:b/>
          <w:bCs/>
        </w:rPr>
        <w:t>八、竣工验收与结算</w:t>
      </w:r>
      <w:bookmarkEnd w:id="521"/>
    </w:p>
    <w:p w14:paraId="6B640A9D">
      <w:pPr>
        <w:pStyle w:val="20"/>
        <w:adjustRightInd w:val="0"/>
        <w:snapToGrid w:val="0"/>
        <w:spacing w:before="0" w:beforeAutospacing="0" w:after="0" w:afterAutospacing="0" w:line="400" w:lineRule="exact"/>
        <w:ind w:left="420" w:leftChars="200"/>
        <w:rPr>
          <w:rFonts w:hint="default"/>
          <w:b/>
          <w:bCs/>
        </w:rPr>
      </w:pPr>
      <w:r>
        <w:rPr>
          <w:b/>
          <w:bCs/>
        </w:rPr>
        <w:t>16、竣工验收的组织</w:t>
      </w:r>
    </w:p>
    <w:p w14:paraId="0C73E56C">
      <w:pPr>
        <w:pStyle w:val="20"/>
        <w:adjustRightInd w:val="0"/>
        <w:snapToGrid w:val="0"/>
        <w:spacing w:before="0" w:beforeAutospacing="0" w:after="0" w:afterAutospacing="0" w:line="400" w:lineRule="exact"/>
        <w:ind w:left="420" w:leftChars="200"/>
        <w:rPr>
          <w:rFonts w:hint="default"/>
          <w:szCs w:val="18"/>
        </w:rPr>
      </w:pPr>
      <w:r>
        <w:rPr>
          <w:szCs w:val="18"/>
        </w:rPr>
        <w:t>16.3中间交工工程的范围和竣工时间：</w:t>
      </w:r>
      <w:r>
        <w:rPr>
          <w:szCs w:val="18"/>
          <w:u w:val="single"/>
        </w:rPr>
        <w:t>中间工程完工自检合格后3日内，整体工程竣工10日内。</w:t>
      </w:r>
    </w:p>
    <w:p w14:paraId="2D1F5FC0">
      <w:pPr>
        <w:pStyle w:val="20"/>
        <w:adjustRightInd w:val="0"/>
        <w:snapToGrid w:val="0"/>
        <w:spacing w:before="0" w:beforeAutospacing="0" w:after="0" w:afterAutospacing="0" w:line="400" w:lineRule="exact"/>
        <w:ind w:left="420" w:leftChars="200"/>
        <w:rPr>
          <w:rFonts w:hint="default"/>
          <w:b/>
          <w:bCs/>
        </w:rPr>
      </w:pPr>
      <w:r>
        <w:rPr>
          <w:b/>
          <w:bCs/>
        </w:rPr>
        <w:t xml:space="preserve">17、竣工验收报告 </w:t>
      </w:r>
    </w:p>
    <w:p w14:paraId="3008DCAD">
      <w:pPr>
        <w:pStyle w:val="20"/>
        <w:adjustRightInd w:val="0"/>
        <w:snapToGrid w:val="0"/>
        <w:spacing w:before="0" w:beforeAutospacing="0" w:after="0" w:afterAutospacing="0" w:line="400" w:lineRule="exact"/>
        <w:ind w:firstLine="480"/>
        <w:rPr>
          <w:rFonts w:hint="default"/>
          <w:szCs w:val="18"/>
        </w:rPr>
      </w:pPr>
      <w:r>
        <w:rPr>
          <w:szCs w:val="18"/>
        </w:rPr>
        <w:t>乙方向甲方提供所承担工程的《竣工验收报告》一式三份，竣工图及完整的竣工资料（含纸质版及电子版）一式两份。</w:t>
      </w:r>
    </w:p>
    <w:p w14:paraId="74AC2F6C">
      <w:pPr>
        <w:pStyle w:val="20"/>
        <w:adjustRightInd w:val="0"/>
        <w:snapToGrid w:val="0"/>
        <w:spacing w:before="0" w:beforeAutospacing="0" w:after="0" w:afterAutospacing="0" w:line="400" w:lineRule="exact"/>
        <w:ind w:firstLine="480"/>
        <w:rPr>
          <w:rFonts w:hint="default"/>
          <w:szCs w:val="18"/>
          <w:u w:val="single"/>
        </w:rPr>
      </w:pPr>
      <w:r>
        <w:rPr>
          <w:szCs w:val="18"/>
        </w:rPr>
        <w:t>乙方提供竣工图及资料、《竣工验收报告》的时间：</w:t>
      </w:r>
      <w:r>
        <w:rPr>
          <w:szCs w:val="18"/>
          <w:u w:val="single"/>
        </w:rPr>
        <w:t>竣工验收前10天。</w:t>
      </w:r>
    </w:p>
    <w:p w14:paraId="0DF48E2C">
      <w:pPr>
        <w:pStyle w:val="20"/>
        <w:adjustRightInd w:val="0"/>
        <w:snapToGrid w:val="0"/>
        <w:spacing w:before="0" w:beforeAutospacing="0" w:after="0" w:afterAutospacing="0" w:line="400" w:lineRule="exact"/>
        <w:ind w:left="420" w:leftChars="200"/>
        <w:rPr>
          <w:rFonts w:hint="default"/>
          <w:b/>
          <w:bCs/>
        </w:rPr>
      </w:pPr>
      <w:r>
        <w:rPr>
          <w:b/>
          <w:bCs/>
        </w:rPr>
        <w:t>18、质量保修</w:t>
      </w:r>
    </w:p>
    <w:p w14:paraId="00AC81F2">
      <w:pPr>
        <w:pStyle w:val="20"/>
        <w:adjustRightInd w:val="0"/>
        <w:snapToGrid w:val="0"/>
        <w:spacing w:before="0" w:beforeAutospacing="0" w:after="0" w:afterAutospacing="0" w:line="400" w:lineRule="exact"/>
        <w:ind w:left="420" w:leftChars="200"/>
        <w:rPr>
          <w:rFonts w:hint="default" w:hAnsi="Times New Roman"/>
          <w:szCs w:val="18"/>
        </w:rPr>
      </w:pPr>
      <w:r>
        <w:rPr>
          <w:szCs w:val="18"/>
        </w:rPr>
        <w:t>18</w:t>
      </w:r>
      <w:r>
        <w:rPr>
          <w:rFonts w:hint="default"/>
          <w:szCs w:val="18"/>
        </w:rPr>
        <w:t>.</w:t>
      </w:r>
      <w:r>
        <w:rPr>
          <w:szCs w:val="18"/>
        </w:rPr>
        <w:t>1质量保修书的主要内容：</w:t>
      </w:r>
      <w:r>
        <w:rPr>
          <w:rFonts w:hAnsi="Times New Roman"/>
          <w:szCs w:val="18"/>
        </w:rPr>
        <w:t>（详见附件3）</w:t>
      </w:r>
    </w:p>
    <w:p w14:paraId="6C9CBD05">
      <w:pPr>
        <w:pStyle w:val="20"/>
        <w:adjustRightInd w:val="0"/>
        <w:snapToGrid w:val="0"/>
        <w:spacing w:before="0" w:beforeAutospacing="0" w:after="0" w:afterAutospacing="0" w:line="400" w:lineRule="exact"/>
        <w:ind w:firstLine="480" w:firstLineChars="200"/>
        <w:rPr>
          <w:rFonts w:hint="default"/>
          <w:szCs w:val="18"/>
        </w:rPr>
      </w:pPr>
      <w:r>
        <w:rPr>
          <w:szCs w:val="18"/>
        </w:rPr>
        <w:t>（1）质量保修期：</w:t>
      </w:r>
      <w:r>
        <w:rPr>
          <w:szCs w:val="18"/>
          <w:u w:val="single"/>
        </w:rPr>
        <w:t>本工程质量保修期为一年。</w:t>
      </w:r>
    </w:p>
    <w:p w14:paraId="30C80262">
      <w:pPr>
        <w:pStyle w:val="20"/>
        <w:adjustRightInd w:val="0"/>
        <w:snapToGrid w:val="0"/>
        <w:spacing w:before="0" w:beforeAutospacing="0" w:after="0" w:afterAutospacing="0" w:line="400" w:lineRule="exact"/>
        <w:ind w:firstLine="480" w:firstLineChars="200"/>
        <w:rPr>
          <w:rFonts w:hint="default"/>
          <w:szCs w:val="18"/>
        </w:rPr>
      </w:pPr>
      <w:r>
        <w:rPr>
          <w:szCs w:val="18"/>
        </w:rPr>
        <w:t>（2）质量保修金的支付办法：工程保修期满经甲方检查若无任何质量问题，则甲方一个月内向乙方退还质保金；</w:t>
      </w:r>
    </w:p>
    <w:p w14:paraId="27CC408C">
      <w:pPr>
        <w:pStyle w:val="20"/>
        <w:adjustRightInd w:val="0"/>
        <w:snapToGrid w:val="0"/>
        <w:spacing w:before="0" w:beforeAutospacing="0" w:after="0" w:afterAutospacing="0" w:line="400" w:lineRule="exact"/>
        <w:ind w:firstLine="480" w:firstLineChars="200"/>
        <w:rPr>
          <w:rFonts w:hint="default"/>
          <w:szCs w:val="18"/>
        </w:rPr>
      </w:pPr>
      <w:r>
        <w:rPr>
          <w:szCs w:val="18"/>
        </w:rPr>
        <w:t>保修期内若发生质量问题，乙方须无条件返工，如乙方不返工，则甲方有权委托第三方修复，其费用由乙方支付（甲方可在质保金中扣除）；</w:t>
      </w:r>
    </w:p>
    <w:p w14:paraId="5C23C63F">
      <w:pPr>
        <w:pStyle w:val="20"/>
        <w:adjustRightInd w:val="0"/>
        <w:snapToGrid w:val="0"/>
        <w:spacing w:before="0" w:beforeAutospacing="0" w:after="0" w:afterAutospacing="0" w:line="400" w:lineRule="exact"/>
        <w:ind w:firstLine="480" w:firstLineChars="200"/>
        <w:rPr>
          <w:rFonts w:hint="default"/>
          <w:szCs w:val="18"/>
        </w:rPr>
      </w:pPr>
      <w:r>
        <w:rPr>
          <w:szCs w:val="18"/>
        </w:rPr>
        <w:t>在保修期内因质量问题需抢修时，如乙方在接到甲方通知后24小时以内不能赶赴现场实施抢修，则甲方有权委托第三方抢修，其费用由乙方支付（甲方可在质保金中扣除）。</w:t>
      </w:r>
    </w:p>
    <w:p w14:paraId="0E2904AB">
      <w:pPr>
        <w:pStyle w:val="20"/>
        <w:adjustRightInd w:val="0"/>
        <w:snapToGrid w:val="0"/>
        <w:spacing w:before="0" w:beforeAutospacing="0" w:after="0" w:afterAutospacing="0" w:line="400" w:lineRule="exact"/>
        <w:outlineLvl w:val="0"/>
        <w:rPr>
          <w:rFonts w:hint="default" w:eastAsia="黑体"/>
          <w:b/>
          <w:bCs/>
        </w:rPr>
      </w:pPr>
      <w:bookmarkStart w:id="522" w:name="_Toc534298911"/>
      <w:bookmarkStart w:id="523" w:name="_Toc534294844"/>
      <w:bookmarkStart w:id="524" w:name="_Toc534295111"/>
      <w:bookmarkStart w:id="525" w:name="_Toc534294996"/>
      <w:bookmarkStart w:id="526" w:name="_Toc534298675"/>
      <w:bookmarkStart w:id="527" w:name="_Toc534294372"/>
      <w:bookmarkStart w:id="528" w:name="_Toc152766741"/>
      <w:r>
        <w:rPr>
          <w:rFonts w:eastAsia="黑体"/>
          <w:b/>
          <w:bCs/>
        </w:rPr>
        <w:t>九、违约</w:t>
      </w:r>
      <w:bookmarkEnd w:id="522"/>
      <w:bookmarkEnd w:id="523"/>
      <w:bookmarkEnd w:id="524"/>
      <w:bookmarkEnd w:id="525"/>
      <w:bookmarkEnd w:id="526"/>
      <w:bookmarkEnd w:id="527"/>
      <w:r>
        <w:rPr>
          <w:rFonts w:eastAsia="黑体"/>
          <w:b/>
          <w:bCs/>
        </w:rPr>
        <w:t>责任</w:t>
      </w:r>
      <w:bookmarkEnd w:id="528"/>
    </w:p>
    <w:p w14:paraId="59F56E3C">
      <w:pPr>
        <w:pStyle w:val="20"/>
        <w:adjustRightInd w:val="0"/>
        <w:snapToGrid w:val="0"/>
        <w:spacing w:before="60" w:beforeAutospacing="0" w:after="60" w:afterAutospacing="0" w:line="264" w:lineRule="auto"/>
        <w:ind w:left="1" w:firstLine="480" w:firstLineChars="200"/>
        <w:rPr>
          <w:rFonts w:hint="default"/>
          <w:u w:val="single"/>
        </w:rPr>
      </w:pPr>
      <w:r>
        <w:rPr>
          <w:u w:val="single"/>
        </w:rPr>
        <w:t xml:space="preserve">1、延误工期违约责任： </w:t>
      </w:r>
    </w:p>
    <w:p w14:paraId="267C82C3">
      <w:pPr>
        <w:pStyle w:val="20"/>
        <w:adjustRightInd w:val="0"/>
        <w:snapToGrid w:val="0"/>
        <w:spacing w:before="60" w:beforeAutospacing="0" w:after="60" w:afterAutospacing="0" w:line="264" w:lineRule="auto"/>
        <w:ind w:left="1" w:firstLine="480" w:firstLineChars="200"/>
        <w:rPr>
          <w:rFonts w:hint="default"/>
          <w:u w:val="single"/>
        </w:rPr>
      </w:pPr>
      <w:r>
        <w:t>若施工期间由于乙方自身原因导致无法按工期保质保量完成合同工程内容，甲方有权立即终止合同并且由乙方自行承担所有损失责任。</w:t>
      </w:r>
    </w:p>
    <w:p w14:paraId="5EE89BB6">
      <w:pPr>
        <w:pStyle w:val="20"/>
        <w:adjustRightInd w:val="0"/>
        <w:snapToGrid w:val="0"/>
        <w:spacing w:before="60" w:beforeAutospacing="0" w:after="60" w:afterAutospacing="0" w:line="264" w:lineRule="auto"/>
        <w:ind w:left="1" w:firstLine="480" w:firstLineChars="200"/>
        <w:rPr>
          <w:rFonts w:hint="default"/>
        </w:rPr>
      </w:pPr>
      <w:r>
        <w:t>本工程因乙方原因延误工期，乙方每延误一天按子项合同价的1.5‰向甲方支付违约金，累计不超过本合同总价的3%。</w:t>
      </w:r>
    </w:p>
    <w:p w14:paraId="4F405037">
      <w:pPr>
        <w:pStyle w:val="20"/>
        <w:adjustRightInd w:val="0"/>
        <w:snapToGrid w:val="0"/>
        <w:spacing w:before="60" w:beforeAutospacing="0" w:after="60" w:afterAutospacing="0" w:line="264" w:lineRule="auto"/>
        <w:ind w:left="1" w:firstLine="480" w:firstLineChars="200"/>
        <w:rPr>
          <w:rFonts w:hint="default"/>
          <w:u w:val="single"/>
        </w:rPr>
      </w:pPr>
      <w:r>
        <w:rPr>
          <w:u w:val="single"/>
        </w:rPr>
        <w:t>2、质量违约责任：</w:t>
      </w:r>
    </w:p>
    <w:p w14:paraId="3303C4F1">
      <w:pPr>
        <w:pStyle w:val="20"/>
        <w:adjustRightInd w:val="0"/>
        <w:snapToGrid w:val="0"/>
        <w:spacing w:before="60" w:beforeAutospacing="0" w:after="60" w:afterAutospacing="0" w:line="264" w:lineRule="auto"/>
        <w:ind w:firstLine="480"/>
        <w:rPr>
          <w:rFonts w:hint="default"/>
        </w:rPr>
      </w:pPr>
      <w:r>
        <w:t>（1）本合同工程整体工程质量若未达到本合同约定的工程质量验收等级标准，乙方必须限期无条件返工直至达到验收等级标准；否则，乙方按工程合同价的3%向甲方支付违约金。</w:t>
      </w:r>
    </w:p>
    <w:p w14:paraId="1181EBF2">
      <w:pPr>
        <w:pStyle w:val="20"/>
        <w:adjustRightInd w:val="0"/>
        <w:snapToGrid w:val="0"/>
        <w:spacing w:before="60" w:beforeAutospacing="0" w:after="60" w:afterAutospacing="0" w:line="264" w:lineRule="auto"/>
        <w:ind w:firstLine="480"/>
        <w:rPr>
          <w:rFonts w:hint="default"/>
        </w:rPr>
      </w:pPr>
      <w:r>
        <w:t>（2）本合同工程施工有下列质量违约情况时，乙方须采取有效措施进行纠正或返工，所有纠正或返工费用由乙方承担，并同时向甲方支付不超过该部位工程合同价的3%的违约金：</w:t>
      </w:r>
    </w:p>
    <w:p w14:paraId="5A35CE72">
      <w:pPr>
        <w:pStyle w:val="20"/>
        <w:adjustRightInd w:val="0"/>
        <w:snapToGrid w:val="0"/>
        <w:spacing w:before="60" w:beforeAutospacing="0" w:after="60" w:afterAutospacing="0" w:line="264" w:lineRule="auto"/>
        <w:ind w:firstLine="480"/>
        <w:rPr>
          <w:rFonts w:hint="default"/>
        </w:rPr>
      </w:pPr>
      <w:r>
        <w:t>（a</w:t>
      </w:r>
      <w:r>
        <w:rPr>
          <w:rFonts w:hint="default"/>
        </w:rPr>
        <w:t>）乙方施工偏差超出了施工图纸所允许的范围</w:t>
      </w:r>
      <w:r>
        <w:t>；</w:t>
      </w:r>
    </w:p>
    <w:p w14:paraId="4A16182E">
      <w:pPr>
        <w:pStyle w:val="20"/>
        <w:adjustRightInd w:val="0"/>
        <w:snapToGrid w:val="0"/>
        <w:spacing w:before="60" w:beforeAutospacing="0" w:after="60" w:afterAutospacing="0" w:line="264" w:lineRule="auto"/>
        <w:ind w:firstLine="480"/>
        <w:rPr>
          <w:rFonts w:hint="default"/>
        </w:rPr>
      </w:pPr>
      <w:r>
        <w:t>（b）</w:t>
      </w:r>
      <w:r>
        <w:rPr>
          <w:rFonts w:hint="default"/>
        </w:rPr>
        <w:t>乙方使用了低于设计文件所要求</w:t>
      </w:r>
      <w:r>
        <w:t>标准</w:t>
      </w:r>
      <w:r>
        <w:rPr>
          <w:rFonts w:hint="default"/>
        </w:rPr>
        <w:t>的材料</w:t>
      </w:r>
      <w:r>
        <w:t>；</w:t>
      </w:r>
    </w:p>
    <w:p w14:paraId="31920B81">
      <w:pPr>
        <w:pStyle w:val="20"/>
        <w:adjustRightInd w:val="0"/>
        <w:snapToGrid w:val="0"/>
        <w:spacing w:before="60" w:beforeAutospacing="0" w:after="60" w:afterAutospacing="0" w:line="264" w:lineRule="auto"/>
        <w:ind w:firstLine="480"/>
        <w:rPr>
          <w:rFonts w:hint="default"/>
        </w:rPr>
      </w:pPr>
      <w:r>
        <w:t>（c）</w:t>
      </w:r>
      <w:r>
        <w:rPr>
          <w:rFonts w:hint="default"/>
        </w:rPr>
        <w:t>乙方对甲方或监理单位或设计单位</w:t>
      </w:r>
      <w:r>
        <w:t>在合同工程按计划实施以前所签发的</w:t>
      </w:r>
      <w:r>
        <w:rPr>
          <w:rFonts w:hint="default"/>
        </w:rPr>
        <w:t>变更通知没有实施</w:t>
      </w:r>
      <w:r>
        <w:t>；</w:t>
      </w:r>
    </w:p>
    <w:p w14:paraId="2A026ECD">
      <w:pPr>
        <w:pStyle w:val="20"/>
        <w:adjustRightInd w:val="0"/>
        <w:snapToGrid w:val="0"/>
        <w:spacing w:before="60" w:beforeAutospacing="0" w:after="60" w:afterAutospacing="0" w:line="264" w:lineRule="auto"/>
        <w:ind w:left="480"/>
        <w:rPr>
          <w:rFonts w:hint="default"/>
          <w:u w:val="single"/>
        </w:rPr>
      </w:pPr>
      <w:r>
        <w:rPr>
          <w:u w:val="single"/>
        </w:rPr>
        <w:t>3</w:t>
      </w:r>
      <w:r>
        <w:rPr>
          <w:rFonts w:hint="default"/>
          <w:u w:val="single"/>
        </w:rPr>
        <w:t>、因乙方的原因解除合同，乙方对甲方的</w:t>
      </w:r>
      <w:r>
        <w:rPr>
          <w:u w:val="single"/>
        </w:rPr>
        <w:t>违约责任</w:t>
      </w:r>
    </w:p>
    <w:p w14:paraId="4EB0B48B">
      <w:pPr>
        <w:pStyle w:val="20"/>
        <w:adjustRightInd w:val="0"/>
        <w:snapToGrid w:val="0"/>
        <w:spacing w:before="0" w:beforeAutospacing="0" w:after="0" w:afterAutospacing="0" w:line="360" w:lineRule="auto"/>
        <w:ind w:firstLine="480"/>
        <w:rPr>
          <w:rFonts w:hint="default"/>
        </w:rPr>
      </w:pPr>
      <w:r>
        <w:t>根据本合同《通用条款》</w:t>
      </w:r>
      <w:r>
        <w:rPr>
          <w:rFonts w:hint="default"/>
        </w:rPr>
        <w:t>37.3，因乙方的原因解除合同，乙方</w:t>
      </w:r>
      <w:r>
        <w:t>必须</w:t>
      </w:r>
      <w:r>
        <w:rPr>
          <w:rFonts w:hint="default"/>
        </w:rPr>
        <w:t>返还甲方支付的所有工程款</w:t>
      </w:r>
      <w:r>
        <w:t>、赔偿甲方所有损失并向甲方支付合同总价【10%】的违约金</w:t>
      </w:r>
      <w:r>
        <w:rPr>
          <w:rFonts w:hint="default"/>
        </w:rPr>
        <w:t>。如果</w:t>
      </w:r>
      <w:r>
        <w:t>乙方有合同工程的转、分包行为，即使甲方不解除合同，乙方应按分包而产生的价差的双倍向甲方支付违约金。</w:t>
      </w:r>
    </w:p>
    <w:p w14:paraId="60CA0FC4">
      <w:pPr>
        <w:pStyle w:val="20"/>
        <w:adjustRightInd w:val="0"/>
        <w:snapToGrid w:val="0"/>
        <w:spacing w:before="0" w:beforeAutospacing="0" w:after="0" w:afterAutospacing="0" w:line="400" w:lineRule="exact"/>
        <w:outlineLvl w:val="0"/>
        <w:rPr>
          <w:rFonts w:hint="default" w:eastAsia="黑体"/>
          <w:b/>
          <w:bCs/>
        </w:rPr>
      </w:pPr>
      <w:r>
        <w:rPr>
          <w:rFonts w:eastAsia="黑体"/>
          <w:b/>
          <w:bCs/>
        </w:rPr>
        <w:t>十、</w:t>
      </w:r>
      <w:bookmarkStart w:id="529" w:name="_Toc152766742"/>
      <w:r>
        <w:rPr>
          <w:rFonts w:eastAsia="黑体"/>
          <w:b/>
          <w:bCs/>
        </w:rPr>
        <w:t>其他</w:t>
      </w:r>
      <w:bookmarkEnd w:id="529"/>
    </w:p>
    <w:p w14:paraId="438FCBF0">
      <w:pPr>
        <w:pStyle w:val="20"/>
        <w:adjustRightInd w:val="0"/>
        <w:snapToGrid w:val="0"/>
        <w:spacing w:before="0" w:beforeAutospacing="0" w:after="0" w:afterAutospacing="0" w:line="400" w:lineRule="exact"/>
        <w:ind w:left="420" w:leftChars="200"/>
        <w:rPr>
          <w:rFonts w:hint="default" w:ascii="黑体" w:eastAsia="黑体"/>
          <w:b/>
          <w:bCs/>
          <w:szCs w:val="18"/>
        </w:rPr>
      </w:pPr>
      <w:r>
        <w:rPr>
          <w:b/>
          <w:bCs/>
        </w:rPr>
        <w:t xml:space="preserve">19、合同份数 </w:t>
      </w:r>
    </w:p>
    <w:p w14:paraId="35E98F5A">
      <w:pPr>
        <w:pStyle w:val="20"/>
        <w:adjustRightInd w:val="0"/>
        <w:snapToGrid w:val="0"/>
        <w:spacing w:before="0" w:beforeAutospacing="0" w:after="0" w:afterAutospacing="0" w:line="400" w:lineRule="exact"/>
        <w:ind w:firstLine="360" w:firstLineChars="150"/>
        <w:rPr>
          <w:rFonts w:hint="default"/>
          <w:szCs w:val="18"/>
        </w:rPr>
      </w:pPr>
      <w:r>
        <w:rPr>
          <w:szCs w:val="18"/>
        </w:rPr>
        <w:t>19.1双方约定合同副本份数：</w:t>
      </w:r>
      <w:r>
        <w:rPr>
          <w:szCs w:val="18"/>
          <w:u w:val="single"/>
        </w:rPr>
        <w:t>本合同副本份数为六份，甲方持四份、乙方持两份。</w:t>
      </w:r>
    </w:p>
    <w:p w14:paraId="30317716">
      <w:pPr>
        <w:pStyle w:val="20"/>
        <w:adjustRightInd w:val="0"/>
        <w:snapToGrid w:val="0"/>
        <w:spacing w:before="0" w:beforeAutospacing="0" w:after="0" w:afterAutospacing="0" w:line="400" w:lineRule="exact"/>
        <w:ind w:left="420" w:leftChars="200"/>
        <w:rPr>
          <w:rFonts w:hint="default" w:ascii="黑体" w:eastAsia="黑体"/>
          <w:b/>
          <w:bCs/>
          <w:szCs w:val="18"/>
        </w:rPr>
      </w:pPr>
      <w:r>
        <w:rPr>
          <w:b/>
          <w:bCs/>
        </w:rPr>
        <w:t>20、合同附件及补充协议</w:t>
      </w:r>
    </w:p>
    <w:p w14:paraId="02E2557C">
      <w:pPr>
        <w:pStyle w:val="20"/>
        <w:adjustRightInd w:val="0"/>
        <w:snapToGrid w:val="0"/>
        <w:spacing w:before="0" w:beforeAutospacing="0" w:after="0" w:afterAutospacing="0" w:line="400" w:lineRule="exact"/>
        <w:ind w:left="420" w:leftChars="200"/>
        <w:rPr>
          <w:rFonts w:hint="default"/>
          <w:szCs w:val="18"/>
        </w:rPr>
      </w:pPr>
      <w:r>
        <w:rPr>
          <w:szCs w:val="18"/>
        </w:rPr>
        <w:t>附件1：乙方承揽的合同工程内容</w:t>
      </w:r>
    </w:p>
    <w:p w14:paraId="07A6B666">
      <w:pPr>
        <w:pStyle w:val="20"/>
        <w:adjustRightInd w:val="0"/>
        <w:snapToGrid w:val="0"/>
        <w:spacing w:before="0" w:beforeAutospacing="0" w:after="0" w:afterAutospacing="0" w:line="400" w:lineRule="exact"/>
        <w:ind w:left="420" w:leftChars="200"/>
        <w:rPr>
          <w:rFonts w:hint="default"/>
          <w:szCs w:val="18"/>
        </w:rPr>
      </w:pPr>
      <w:r>
        <w:rPr>
          <w:szCs w:val="18"/>
        </w:rPr>
        <w:t>附件2：合同工程的分项价格表</w:t>
      </w:r>
    </w:p>
    <w:p w14:paraId="1AE4B6C9">
      <w:pPr>
        <w:pStyle w:val="20"/>
        <w:adjustRightInd w:val="0"/>
        <w:snapToGrid w:val="0"/>
        <w:spacing w:before="0" w:beforeAutospacing="0" w:after="0" w:afterAutospacing="0" w:line="400" w:lineRule="exact"/>
        <w:ind w:left="420" w:leftChars="200"/>
        <w:rPr>
          <w:rFonts w:hint="default"/>
          <w:szCs w:val="18"/>
        </w:rPr>
      </w:pPr>
      <w:r>
        <w:rPr>
          <w:szCs w:val="18"/>
        </w:rPr>
        <w:t>附件3：工程质量保修书</w:t>
      </w:r>
    </w:p>
    <w:p w14:paraId="11A3BB0F">
      <w:pPr>
        <w:pStyle w:val="20"/>
        <w:adjustRightInd w:val="0"/>
        <w:snapToGrid w:val="0"/>
        <w:spacing w:before="0" w:beforeAutospacing="0" w:after="0" w:afterAutospacing="0" w:line="400" w:lineRule="exact"/>
        <w:ind w:left="420" w:leftChars="200"/>
        <w:rPr>
          <w:rFonts w:hint="default"/>
          <w:szCs w:val="18"/>
        </w:rPr>
      </w:pPr>
      <w:r>
        <w:rPr>
          <w:szCs w:val="18"/>
        </w:rPr>
        <w:t>附件4：健康安全协议</w:t>
      </w:r>
    </w:p>
    <w:p w14:paraId="65EA788F">
      <w:pPr>
        <w:pStyle w:val="20"/>
        <w:adjustRightInd w:val="0"/>
        <w:snapToGrid w:val="0"/>
        <w:spacing w:before="0" w:beforeAutospacing="0" w:after="0" w:afterAutospacing="0" w:line="400" w:lineRule="exact"/>
        <w:ind w:left="420" w:leftChars="200"/>
        <w:rPr>
          <w:rFonts w:hint="default"/>
          <w:szCs w:val="18"/>
        </w:rPr>
      </w:pPr>
      <w:r>
        <w:rPr>
          <w:szCs w:val="18"/>
        </w:rPr>
        <w:t>附件5：供应商商业道德行为准则</w:t>
      </w:r>
    </w:p>
    <w:p w14:paraId="482475B3">
      <w:pPr>
        <w:pStyle w:val="20"/>
        <w:adjustRightInd w:val="0"/>
        <w:snapToGrid w:val="0"/>
        <w:spacing w:before="0" w:beforeAutospacing="0" w:after="0" w:afterAutospacing="0" w:line="400" w:lineRule="exact"/>
        <w:ind w:left="420" w:leftChars="200"/>
        <w:jc w:val="both"/>
        <w:rPr>
          <w:rFonts w:hint="default"/>
          <w:szCs w:val="18"/>
        </w:rPr>
      </w:pPr>
      <w:r>
        <w:rPr>
          <w:szCs w:val="18"/>
        </w:rPr>
        <w:t>附件6：廉政协议书</w:t>
      </w:r>
    </w:p>
    <w:p w14:paraId="1E626A67">
      <w:pPr>
        <w:pStyle w:val="20"/>
        <w:adjustRightInd w:val="0"/>
        <w:snapToGrid w:val="0"/>
        <w:spacing w:before="0" w:beforeAutospacing="0" w:after="0" w:afterAutospacing="0" w:line="400" w:lineRule="exact"/>
        <w:ind w:left="420" w:leftChars="200"/>
        <w:jc w:val="both"/>
        <w:rPr>
          <w:rFonts w:hint="default"/>
          <w:szCs w:val="18"/>
        </w:rPr>
      </w:pPr>
      <w:r>
        <w:rPr>
          <w:szCs w:val="18"/>
        </w:rPr>
        <w:t>附件7：甲方安全标准及安全管理分类</w:t>
      </w:r>
    </w:p>
    <w:p w14:paraId="3A461C60">
      <w:pPr>
        <w:pStyle w:val="20"/>
        <w:adjustRightInd w:val="0"/>
        <w:snapToGrid w:val="0"/>
        <w:spacing w:before="0" w:beforeAutospacing="0" w:after="0" w:afterAutospacing="0" w:line="400" w:lineRule="exact"/>
        <w:ind w:left="420" w:leftChars="200"/>
        <w:rPr>
          <w:rFonts w:hint="default"/>
          <w:szCs w:val="18"/>
        </w:rPr>
      </w:pPr>
      <w:r>
        <w:rPr>
          <w:szCs w:val="18"/>
        </w:rPr>
        <w:t>附件8：安全、文明施工管理规定</w:t>
      </w:r>
    </w:p>
    <w:p w14:paraId="232B62C6">
      <w:pPr>
        <w:pStyle w:val="3"/>
      </w:pPr>
      <w:r>
        <w:br w:type="page"/>
      </w:r>
      <w:bookmarkStart w:id="530" w:name="_Toc152766743"/>
      <w:r>
        <w:rPr>
          <w:rFonts w:hint="eastAsia"/>
        </w:rPr>
        <w:t>附件1 乙方承揽的合同工程内容</w:t>
      </w:r>
      <w:bookmarkEnd w:id="530"/>
    </w:p>
    <w:p w14:paraId="1D146326">
      <w:pPr>
        <w:adjustRightInd w:val="0"/>
        <w:snapToGrid w:val="0"/>
        <w:spacing w:line="360" w:lineRule="auto"/>
        <w:jc w:val="left"/>
        <w:rPr>
          <w:rFonts w:ascii="宋体" w:hAnsi="宋体"/>
          <w:b/>
          <w:sz w:val="24"/>
        </w:rPr>
        <w:sectPr>
          <w:pgSz w:w="11906" w:h="16838"/>
          <w:pgMar w:top="1440" w:right="1797" w:bottom="1440" w:left="1797" w:header="851" w:footer="992" w:gutter="0"/>
          <w:cols w:space="425" w:num="1"/>
          <w:titlePg/>
          <w:docGrid w:type="lines" w:linePitch="312" w:charSpace="0"/>
        </w:sectPr>
      </w:pPr>
      <w:r>
        <w:rPr>
          <w:rFonts w:hint="eastAsia" w:eastAsia="仿宋_GB2312"/>
          <w:b/>
          <w:snapToGrid w:val="0"/>
          <w:sz w:val="24"/>
        </w:rPr>
        <w:t xml:space="preserve"> </w:t>
      </w:r>
    </w:p>
    <w:p w14:paraId="737C0422">
      <w:pPr>
        <w:pStyle w:val="3"/>
        <w:rPr>
          <w:b w:val="0"/>
        </w:rPr>
      </w:pPr>
      <w:r>
        <w:t>附件2</w:t>
      </w:r>
      <w:r>
        <w:rPr>
          <w:rFonts w:hint="eastAsia"/>
        </w:rPr>
        <w:t xml:space="preserve"> </w:t>
      </w:r>
      <w:r>
        <w:t>合同工程的分项价格表</w:t>
      </w:r>
    </w:p>
    <w:p w14:paraId="397B085C">
      <w:pPr>
        <w:pStyle w:val="20"/>
        <w:spacing w:before="156" w:beforeLines="50" w:beforeAutospacing="0" w:after="156" w:afterLines="50" w:afterAutospacing="0"/>
        <w:rPr>
          <w:rFonts w:hint="default"/>
          <w:b/>
          <w:sz w:val="20"/>
        </w:rPr>
      </w:pPr>
    </w:p>
    <w:p w14:paraId="4E26EC7C">
      <w:pPr>
        <w:pStyle w:val="20"/>
        <w:spacing w:before="156" w:beforeLines="50" w:beforeAutospacing="0" w:after="156" w:afterLines="50" w:afterAutospacing="0"/>
        <w:rPr>
          <w:rFonts w:hint="default"/>
          <w:b/>
          <w:sz w:val="20"/>
        </w:rPr>
      </w:pPr>
    </w:p>
    <w:p w14:paraId="6CD9E8C3">
      <w:pPr>
        <w:pStyle w:val="3"/>
        <w:rPr>
          <w:rFonts w:asciiTheme="majorHAnsi"/>
        </w:rPr>
      </w:pPr>
      <w:bookmarkStart w:id="531" w:name="_Toc152766745"/>
      <w:r>
        <w:t>附件3</w:t>
      </w:r>
      <w:r>
        <w:rPr>
          <w:rFonts w:hint="eastAsia"/>
        </w:rPr>
        <w:t xml:space="preserve"> </w:t>
      </w:r>
      <w:r>
        <w:t>工程质量保修书</w:t>
      </w:r>
      <w:bookmarkEnd w:id="531"/>
    </w:p>
    <w:p w14:paraId="11952804">
      <w:pPr>
        <w:jc w:val="left"/>
        <w:rPr>
          <w:rFonts w:ascii="宋体" w:hAnsi="宋体"/>
          <w:szCs w:val="21"/>
        </w:rPr>
      </w:pPr>
      <w:r>
        <w:rPr>
          <w:rFonts w:ascii="宋体" w:hAnsi="宋体"/>
          <w:szCs w:val="21"/>
        </w:rPr>
        <w:t>甲方（全称）：</w:t>
      </w:r>
      <w:r>
        <w:rPr>
          <w:rFonts w:hint="eastAsia" w:ascii="宋体"/>
          <w:szCs w:val="21"/>
          <w:u w:val="single"/>
        </w:rPr>
        <w:t xml:space="preserve">               </w:t>
      </w:r>
    </w:p>
    <w:p w14:paraId="3EB98E2D">
      <w:pPr>
        <w:jc w:val="left"/>
        <w:rPr>
          <w:rFonts w:ascii="宋体" w:hAnsi="宋体"/>
          <w:szCs w:val="21"/>
        </w:rPr>
      </w:pPr>
      <w:r>
        <w:rPr>
          <w:rFonts w:ascii="宋体" w:hAnsi="宋体"/>
          <w:szCs w:val="21"/>
        </w:rPr>
        <w:t>乙方（全称）：</w:t>
      </w:r>
      <w:r>
        <w:rPr>
          <w:rFonts w:hint="eastAsia" w:ascii="宋体" w:hAnsi="宋体"/>
          <w:szCs w:val="21"/>
        </w:rPr>
        <w:t xml:space="preserve">              </w:t>
      </w:r>
      <w:r>
        <w:rPr>
          <w:rFonts w:hint="eastAsia" w:ascii="宋体"/>
          <w:szCs w:val="21"/>
          <w:u w:val="single"/>
        </w:rPr>
        <w:t xml:space="preserve"> </w:t>
      </w:r>
    </w:p>
    <w:p w14:paraId="361E285E">
      <w:pPr>
        <w:ind w:firstLine="420"/>
        <w:jc w:val="left"/>
        <w:rPr>
          <w:u w:val="single"/>
        </w:rPr>
      </w:pPr>
      <w:r>
        <w:rPr>
          <w:rFonts w:ascii="宋体" w:hAnsi="宋体"/>
          <w:szCs w:val="21"/>
        </w:rPr>
        <w:t>甲乙双方根据《中华人民共和国建筑法》、《建设工程质量管理条例》，经协商一致，对</w:t>
      </w:r>
      <w:r>
        <w:rPr>
          <w:rFonts w:hint="eastAsia"/>
          <w:u w:val="single"/>
        </w:rPr>
        <w:t xml:space="preserve">                                           工程</w:t>
      </w:r>
      <w:r>
        <w:rPr>
          <w:rFonts w:ascii="宋体" w:hAnsi="宋体"/>
          <w:szCs w:val="21"/>
        </w:rPr>
        <w:t>签定工程质量保修书。</w:t>
      </w:r>
      <w:r>
        <w:rPr>
          <w:rFonts w:hint="eastAsia" w:ascii="宋体" w:hAnsi="宋体"/>
          <w:szCs w:val="21"/>
        </w:rPr>
        <w:t xml:space="preserve">   </w:t>
      </w:r>
    </w:p>
    <w:p w14:paraId="2EE460CE">
      <w:pPr>
        <w:ind w:firstLine="420"/>
        <w:jc w:val="left"/>
        <w:rPr>
          <w:rFonts w:ascii="宋体" w:hAnsi="宋体"/>
          <w:szCs w:val="21"/>
        </w:rPr>
      </w:pPr>
      <w:r>
        <w:rPr>
          <w:rFonts w:ascii="宋体" w:hAnsi="宋体"/>
          <w:szCs w:val="21"/>
        </w:rPr>
        <w:t>一、工程质量保修范围和内容</w:t>
      </w:r>
      <w:r>
        <w:rPr>
          <w:rFonts w:hint="eastAsia" w:ascii="宋体" w:hAnsi="宋体"/>
          <w:szCs w:val="21"/>
        </w:rPr>
        <w:t xml:space="preserve"> </w:t>
      </w:r>
    </w:p>
    <w:p w14:paraId="670A441A">
      <w:pPr>
        <w:ind w:firstLine="420"/>
        <w:jc w:val="left"/>
        <w:rPr>
          <w:rFonts w:ascii="宋体" w:hAnsi="宋体"/>
          <w:szCs w:val="21"/>
        </w:rPr>
      </w:pPr>
      <w:r>
        <w:rPr>
          <w:rFonts w:ascii="宋体" w:hAnsi="宋体"/>
          <w:szCs w:val="21"/>
        </w:rPr>
        <w:t>乙方在质量保修期内，按照有关法律、法规、规章的管理规定和双方约定，承担本工程质量保修责任。</w:t>
      </w:r>
      <w:r>
        <w:rPr>
          <w:rFonts w:hint="eastAsia" w:ascii="宋体" w:hAnsi="宋体"/>
          <w:szCs w:val="21"/>
        </w:rPr>
        <w:t xml:space="preserve">  </w:t>
      </w:r>
    </w:p>
    <w:p w14:paraId="3F7BE9EE">
      <w:pPr>
        <w:ind w:firstLine="420"/>
        <w:jc w:val="left"/>
        <w:rPr>
          <w:rFonts w:ascii="宋体" w:hAnsi="宋体"/>
          <w:szCs w:val="21"/>
        </w:rPr>
      </w:pPr>
      <w:r>
        <w:rPr>
          <w:rFonts w:ascii="宋体" w:hAnsi="宋体"/>
          <w:szCs w:val="21"/>
        </w:rPr>
        <w:t>质量保修范围包括：</w:t>
      </w:r>
      <w:r>
        <w:rPr>
          <w:rFonts w:hint="eastAsia"/>
          <w:u w:val="single"/>
        </w:rPr>
        <w:t xml:space="preserve">                                          工程</w:t>
      </w:r>
      <w:r>
        <w:rPr>
          <w:rFonts w:ascii="宋体" w:hAnsi="宋体"/>
          <w:szCs w:val="21"/>
        </w:rPr>
        <w:t>。</w:t>
      </w:r>
    </w:p>
    <w:p w14:paraId="3E7E8DB7">
      <w:pPr>
        <w:ind w:firstLine="420"/>
        <w:jc w:val="left"/>
        <w:rPr>
          <w:rFonts w:ascii="宋体" w:hAnsi="宋体"/>
          <w:szCs w:val="21"/>
        </w:rPr>
      </w:pPr>
      <w:r>
        <w:rPr>
          <w:rFonts w:ascii="宋体" w:hAnsi="宋体"/>
          <w:szCs w:val="21"/>
        </w:rPr>
        <w:t>具体保修的内容为达不到国家现行质量标准及设计文件要求合格质量等级的质量缺陷。</w:t>
      </w:r>
      <w:r>
        <w:rPr>
          <w:rFonts w:hint="eastAsia" w:ascii="宋体" w:hAnsi="宋体"/>
          <w:szCs w:val="21"/>
        </w:rPr>
        <w:t xml:space="preserve"> </w:t>
      </w:r>
    </w:p>
    <w:p w14:paraId="3D90FE79">
      <w:pPr>
        <w:ind w:firstLine="420"/>
        <w:jc w:val="left"/>
        <w:rPr>
          <w:rFonts w:ascii="宋体" w:hAnsi="宋体"/>
          <w:szCs w:val="21"/>
        </w:rPr>
      </w:pPr>
      <w:r>
        <w:rPr>
          <w:rFonts w:ascii="宋体" w:hAnsi="宋体"/>
          <w:szCs w:val="21"/>
        </w:rPr>
        <w:t>二、质量保修期</w:t>
      </w:r>
      <w:r>
        <w:rPr>
          <w:rFonts w:hint="eastAsia" w:ascii="宋体" w:hAnsi="宋体"/>
          <w:szCs w:val="21"/>
        </w:rPr>
        <w:t xml:space="preserve"> </w:t>
      </w:r>
    </w:p>
    <w:p w14:paraId="4BA68C2E">
      <w:pPr>
        <w:ind w:firstLine="420" w:firstLineChars="200"/>
        <w:jc w:val="left"/>
        <w:rPr>
          <w:rFonts w:ascii="宋体" w:hAnsi="宋体"/>
          <w:szCs w:val="21"/>
        </w:rPr>
      </w:pPr>
      <w:r>
        <w:rPr>
          <w:rFonts w:ascii="宋体" w:hAnsi="宋体"/>
          <w:szCs w:val="21"/>
        </w:rPr>
        <w:t>双方根据《建设工程质量管理条例》及有关规定，约定本工程的质量保修期如下：</w:t>
      </w:r>
    </w:p>
    <w:p w14:paraId="291585B1">
      <w:pPr>
        <w:ind w:firstLine="420"/>
        <w:jc w:val="left"/>
        <w:rPr>
          <w:rFonts w:ascii="宋体" w:hAnsi="宋体"/>
          <w:szCs w:val="21"/>
        </w:rPr>
      </w:pPr>
      <w:r>
        <w:rPr>
          <w:rFonts w:ascii="宋体" w:hAnsi="宋体"/>
          <w:szCs w:val="21"/>
        </w:rPr>
        <w:t>本工程保修期为一年；乙方施工的</w:t>
      </w:r>
      <w:r>
        <w:rPr>
          <w:rFonts w:ascii="宋体" w:hAnsi="宋体"/>
          <w:szCs w:val="21"/>
          <w:u w:val="single"/>
        </w:rPr>
        <w:t>主体结构</w:t>
      </w:r>
      <w:r>
        <w:rPr>
          <w:rFonts w:ascii="宋体" w:hAnsi="宋体"/>
          <w:szCs w:val="21"/>
        </w:rPr>
        <w:t>的质量责任期限为设计文件规定的本工程的合理使用年限。</w:t>
      </w:r>
    </w:p>
    <w:p w14:paraId="37797426">
      <w:pPr>
        <w:ind w:firstLine="420"/>
        <w:jc w:val="left"/>
        <w:rPr>
          <w:rFonts w:ascii="宋体" w:hAnsi="宋体"/>
          <w:szCs w:val="21"/>
        </w:rPr>
      </w:pPr>
      <w:r>
        <w:rPr>
          <w:rFonts w:ascii="宋体" w:hAnsi="宋体"/>
          <w:szCs w:val="21"/>
        </w:rPr>
        <w:t>质量保修期自工程竣工验收合格之日起计算。</w:t>
      </w:r>
    </w:p>
    <w:p w14:paraId="791EC3CA">
      <w:pPr>
        <w:ind w:firstLine="420"/>
        <w:jc w:val="left"/>
        <w:rPr>
          <w:rFonts w:ascii="宋体" w:hAnsi="宋体"/>
          <w:szCs w:val="21"/>
        </w:rPr>
      </w:pPr>
      <w:r>
        <w:rPr>
          <w:rFonts w:ascii="宋体" w:hAnsi="宋体"/>
          <w:szCs w:val="21"/>
        </w:rPr>
        <w:t>三、质量保修金额</w:t>
      </w:r>
    </w:p>
    <w:p w14:paraId="70641771">
      <w:pPr>
        <w:ind w:firstLine="420"/>
        <w:jc w:val="left"/>
        <w:rPr>
          <w:rFonts w:ascii="宋体" w:hAnsi="宋体"/>
          <w:szCs w:val="21"/>
        </w:rPr>
      </w:pPr>
      <w:r>
        <w:rPr>
          <w:rFonts w:ascii="宋体" w:hAnsi="宋体"/>
          <w:szCs w:val="21"/>
        </w:rPr>
        <w:t>合同工程的质量保修金额为合同工程总价的</w:t>
      </w:r>
      <w:r>
        <w:rPr>
          <w:rFonts w:hint="eastAsia" w:ascii="宋体" w:hAnsi="宋体"/>
          <w:szCs w:val="21"/>
        </w:rPr>
        <w:t xml:space="preserve"> </w:t>
      </w:r>
      <w:r>
        <w:rPr>
          <w:rFonts w:hint="eastAsia" w:ascii="宋体" w:hAnsi="宋体"/>
          <w:szCs w:val="21"/>
          <w:u w:val="single"/>
        </w:rPr>
        <w:t xml:space="preserve">  5%  </w:t>
      </w:r>
      <w:r>
        <w:rPr>
          <w:rFonts w:ascii="宋体" w:hAnsi="宋体"/>
          <w:szCs w:val="21"/>
        </w:rPr>
        <w:t>。</w:t>
      </w:r>
    </w:p>
    <w:p w14:paraId="3FE91613">
      <w:pPr>
        <w:ind w:firstLine="420"/>
        <w:jc w:val="left"/>
        <w:rPr>
          <w:rFonts w:ascii="宋体" w:hAnsi="宋体"/>
          <w:szCs w:val="21"/>
        </w:rPr>
      </w:pPr>
      <w:r>
        <w:rPr>
          <w:rFonts w:ascii="宋体" w:hAnsi="宋体"/>
          <w:szCs w:val="21"/>
        </w:rPr>
        <w:t>四、质量保修责任</w:t>
      </w:r>
    </w:p>
    <w:p w14:paraId="697B7D49">
      <w:pPr>
        <w:ind w:firstLine="420"/>
        <w:jc w:val="left"/>
        <w:rPr>
          <w:rFonts w:ascii="宋体" w:hAnsi="宋体"/>
          <w:szCs w:val="21"/>
        </w:rPr>
      </w:pPr>
      <w:r>
        <w:rPr>
          <w:rFonts w:ascii="宋体" w:hAnsi="宋体"/>
          <w:szCs w:val="21"/>
        </w:rPr>
        <w:t>⒈属于保修范围、内容的项目，乙方应当在接到保修通知之日起7天内派人保修。乙方不在约定期限内派人保修的，甲方可以委托他方修理，其费用在质保金中扣除。</w:t>
      </w:r>
    </w:p>
    <w:p w14:paraId="36EE0996">
      <w:pPr>
        <w:ind w:firstLine="420"/>
        <w:jc w:val="left"/>
        <w:rPr>
          <w:rFonts w:ascii="宋体" w:hAnsi="宋体"/>
          <w:szCs w:val="21"/>
        </w:rPr>
      </w:pPr>
      <w:r>
        <w:rPr>
          <w:rFonts w:ascii="宋体" w:hAnsi="宋体"/>
          <w:szCs w:val="21"/>
        </w:rPr>
        <w:t>⒉发生质量问题须紧急抢修的，乙方在接到事故通知后，应当在24小时内立即到达事故现场抢修，否则甲方有权委托他方修理，其费用在质保金中扣除。</w:t>
      </w:r>
    </w:p>
    <w:p w14:paraId="29D0C437">
      <w:pPr>
        <w:ind w:firstLine="420"/>
        <w:jc w:val="left"/>
        <w:rPr>
          <w:rFonts w:ascii="宋体" w:hAnsi="宋体"/>
          <w:szCs w:val="21"/>
        </w:rPr>
      </w:pPr>
      <w:r>
        <w:rPr>
          <w:rFonts w:ascii="宋体" w:hAnsi="宋体"/>
          <w:szCs w:val="21"/>
        </w:rPr>
        <w:t>⒊对于涉及结构安全的质量问题，应当立即向甲方及当地建设行政主管部门报告，采取安全防范措施；由原设计单位或者具有相应资质等级的设计单位提出保修方案，乙方实施保修。</w:t>
      </w:r>
    </w:p>
    <w:p w14:paraId="764ABD27">
      <w:pPr>
        <w:ind w:firstLine="420"/>
        <w:jc w:val="left"/>
        <w:rPr>
          <w:rFonts w:ascii="宋体" w:hAnsi="宋体"/>
          <w:szCs w:val="21"/>
        </w:rPr>
      </w:pPr>
      <w:r>
        <w:rPr>
          <w:rFonts w:ascii="宋体" w:hAnsi="宋体"/>
          <w:szCs w:val="21"/>
        </w:rPr>
        <w:t>⒋质量保修完成后，由乙方组织验收。</w:t>
      </w:r>
    </w:p>
    <w:p w14:paraId="43B132C4">
      <w:pPr>
        <w:ind w:firstLine="420"/>
        <w:jc w:val="left"/>
        <w:rPr>
          <w:rFonts w:ascii="宋体" w:hAnsi="宋体"/>
          <w:szCs w:val="21"/>
        </w:rPr>
      </w:pPr>
      <w:r>
        <w:rPr>
          <w:rFonts w:ascii="宋体" w:hAnsi="宋体"/>
          <w:szCs w:val="21"/>
        </w:rPr>
        <w:t>五、保修费用</w:t>
      </w:r>
    </w:p>
    <w:p w14:paraId="3FFF9A8E">
      <w:pPr>
        <w:ind w:firstLine="420"/>
        <w:jc w:val="left"/>
        <w:rPr>
          <w:rFonts w:ascii="宋体" w:hAnsi="宋体"/>
          <w:szCs w:val="21"/>
        </w:rPr>
      </w:pPr>
      <w:r>
        <w:rPr>
          <w:rFonts w:ascii="宋体" w:hAnsi="宋体"/>
          <w:szCs w:val="21"/>
        </w:rPr>
        <w:t>保修费用由造成质量缺陷的责任方承担。</w:t>
      </w:r>
    </w:p>
    <w:p w14:paraId="02F6BAD2">
      <w:pPr>
        <w:ind w:firstLine="420"/>
        <w:jc w:val="left"/>
        <w:rPr>
          <w:rFonts w:ascii="宋体" w:hAnsi="宋体"/>
          <w:szCs w:val="21"/>
        </w:rPr>
      </w:pPr>
      <w:r>
        <w:rPr>
          <w:rFonts w:ascii="宋体" w:hAnsi="宋体"/>
          <w:szCs w:val="21"/>
        </w:rPr>
        <w:t>本工程质量保修书，作为施工合同附件，其有效期限至保修期满。</w:t>
      </w:r>
    </w:p>
    <w:p w14:paraId="141057B1">
      <w:pPr>
        <w:ind w:firstLine="420"/>
        <w:jc w:val="left"/>
        <w:rPr>
          <w:rFonts w:ascii="宋体" w:hAnsi="宋体"/>
          <w:szCs w:val="21"/>
        </w:rPr>
      </w:pPr>
    </w:p>
    <w:p w14:paraId="5A16B64C">
      <w:pPr>
        <w:ind w:firstLine="420"/>
        <w:jc w:val="left"/>
        <w:rPr>
          <w:rFonts w:ascii="宋体" w:hAnsi="宋体"/>
          <w:szCs w:val="21"/>
        </w:rPr>
      </w:pPr>
    </w:p>
    <w:p w14:paraId="7C8A461E">
      <w:pPr>
        <w:ind w:firstLine="420"/>
        <w:jc w:val="left"/>
        <w:rPr>
          <w:rFonts w:ascii="宋体" w:hAnsi="宋体"/>
          <w:szCs w:val="21"/>
        </w:rPr>
      </w:pPr>
    </w:p>
    <w:p w14:paraId="71607DB0">
      <w:pPr>
        <w:ind w:firstLine="420"/>
        <w:jc w:val="left"/>
        <w:rPr>
          <w:rFonts w:ascii="宋体" w:hAnsi="宋体"/>
          <w:szCs w:val="21"/>
        </w:rPr>
      </w:pPr>
    </w:p>
    <w:p w14:paraId="653C7677">
      <w:pPr>
        <w:ind w:firstLine="420"/>
        <w:jc w:val="left"/>
        <w:rPr>
          <w:rFonts w:ascii="宋体" w:hAnsi="宋体"/>
          <w:szCs w:val="21"/>
        </w:rPr>
      </w:pPr>
    </w:p>
    <w:p w14:paraId="7E14BF70">
      <w:pPr>
        <w:ind w:firstLine="420"/>
        <w:jc w:val="left"/>
        <w:rPr>
          <w:rFonts w:ascii="宋体" w:hAnsi="宋体"/>
          <w:szCs w:val="21"/>
        </w:rPr>
      </w:pPr>
    </w:p>
    <w:p w14:paraId="06E31001">
      <w:pPr>
        <w:pStyle w:val="3"/>
        <w:rPr>
          <w:rFonts w:asciiTheme="majorHAnsi" w:hAnsiTheme="majorHAnsi"/>
        </w:rPr>
      </w:pPr>
      <w:bookmarkStart w:id="532" w:name="_Toc152766746"/>
      <w:r>
        <w:t>附件4</w:t>
      </w:r>
      <w:r>
        <w:rPr>
          <w:rFonts w:hint="eastAsia"/>
        </w:rPr>
        <w:t xml:space="preserve"> 健康安全协议</w:t>
      </w:r>
      <w:bookmarkEnd w:id="532"/>
      <w:r>
        <w:rPr>
          <w:rFonts w:hint="eastAsia"/>
        </w:rPr>
        <w:t xml:space="preserve">  </w:t>
      </w:r>
    </w:p>
    <w:p w14:paraId="4CEEB991">
      <w:pPr>
        <w:spacing w:line="276" w:lineRule="auto"/>
        <w:jc w:val="left"/>
        <w:rPr>
          <w:rFonts w:ascii="宋体" w:hAnsi="宋体"/>
          <w:szCs w:val="21"/>
        </w:rPr>
      </w:pPr>
      <w:r>
        <w:rPr>
          <w:rFonts w:hint="eastAsia" w:ascii="宋体" w:hAnsi="宋体"/>
          <w:szCs w:val="21"/>
        </w:rPr>
        <w:t>发包单位：</w:t>
      </w:r>
      <w:r>
        <w:rPr>
          <w:rFonts w:hint="eastAsia" w:ascii="宋体" w:hAnsi="宋体"/>
          <w:b/>
          <w:szCs w:val="21"/>
          <w:u w:val="single"/>
        </w:rPr>
        <w:t xml:space="preserve">                           </w:t>
      </w:r>
      <w:r>
        <w:rPr>
          <w:rFonts w:hint="eastAsia" w:ascii="宋体" w:hAnsi="宋体"/>
          <w:szCs w:val="21"/>
        </w:rPr>
        <w:t>（以下简称甲方）</w:t>
      </w:r>
    </w:p>
    <w:p w14:paraId="68EF5DFC">
      <w:pPr>
        <w:spacing w:line="276" w:lineRule="auto"/>
        <w:ind w:hanging="27"/>
        <w:jc w:val="left"/>
        <w:rPr>
          <w:rFonts w:ascii="宋体" w:hAnsi="宋体"/>
          <w:szCs w:val="21"/>
        </w:rPr>
      </w:pPr>
      <w:r>
        <w:rPr>
          <w:rFonts w:hint="eastAsia" w:ascii="宋体" w:hAnsi="宋体"/>
          <w:szCs w:val="21"/>
        </w:rPr>
        <w:t>承包单位：</w:t>
      </w:r>
      <w:r>
        <w:rPr>
          <w:rFonts w:hint="eastAsia" w:ascii="宋体" w:hAnsi="宋体"/>
          <w:b/>
          <w:szCs w:val="21"/>
          <w:u w:val="single"/>
        </w:rPr>
        <w:t xml:space="preserve">                         </w:t>
      </w:r>
      <w:r>
        <w:rPr>
          <w:rFonts w:hint="eastAsia" w:ascii="宋体"/>
          <w:szCs w:val="21"/>
          <w:u w:val="single"/>
        </w:rPr>
        <w:t xml:space="preserve">   </w:t>
      </w:r>
      <w:r>
        <w:rPr>
          <w:rFonts w:hint="eastAsia" w:ascii="宋体" w:hAnsi="宋体"/>
          <w:szCs w:val="21"/>
        </w:rPr>
        <w:t xml:space="preserve">（以下简称乙方）  </w:t>
      </w:r>
    </w:p>
    <w:p w14:paraId="13AC0E0E">
      <w:pPr>
        <w:spacing w:line="400" w:lineRule="exact"/>
        <w:ind w:firstLine="420" w:firstLineChars="200"/>
        <w:jc w:val="left"/>
        <w:rPr>
          <w:rFonts w:ascii="宋体" w:hAnsi="宋体"/>
          <w:szCs w:val="21"/>
        </w:rPr>
      </w:pPr>
      <w:r>
        <w:rPr>
          <w:rFonts w:hint="eastAsia" w:ascii="宋体" w:hAnsi="宋体"/>
          <w:szCs w:val="21"/>
        </w:rPr>
        <w:t>甲方将</w:t>
      </w:r>
      <w:r>
        <w:rPr>
          <w:rFonts w:hint="eastAsia"/>
          <w:u w:val="single"/>
        </w:rPr>
        <w:t xml:space="preserve">                                工程</w:t>
      </w:r>
      <w:r>
        <w:rPr>
          <w:rFonts w:hint="eastAsia" w:ascii="宋体" w:hAnsi="宋体"/>
          <w:szCs w:val="21"/>
        </w:rPr>
        <w:t xml:space="preserve">发包给乙方实施完成，为明确双方的安全生产责任，确保乙方在合同履行期间的健康安全，根据国家有关法律法规和甲方安全要求，双方协商一致并自愿签订本协议。         </w:t>
      </w:r>
    </w:p>
    <w:p w14:paraId="77647E6F">
      <w:pPr>
        <w:jc w:val="left"/>
        <w:rPr>
          <w:rFonts w:ascii="宋体" w:hAnsi="宋体"/>
          <w:b/>
          <w:bCs/>
          <w:szCs w:val="21"/>
        </w:rPr>
      </w:pPr>
      <w:r>
        <w:rPr>
          <w:rFonts w:hint="eastAsia" w:ascii="宋体" w:hAnsi="宋体"/>
          <w:b/>
          <w:bCs/>
          <w:szCs w:val="21"/>
        </w:rPr>
        <w:t>一．承包项目</w:t>
      </w:r>
    </w:p>
    <w:p w14:paraId="25BA895A">
      <w:pPr>
        <w:numPr>
          <w:ilvl w:val="1"/>
          <w:numId w:val="4"/>
        </w:numPr>
        <w:jc w:val="left"/>
        <w:rPr>
          <w:rFonts w:ascii="宋体" w:hAnsi="宋体"/>
          <w:szCs w:val="21"/>
        </w:rPr>
      </w:pPr>
      <w:r>
        <w:rPr>
          <w:rFonts w:hint="eastAsia" w:ascii="宋体" w:hAnsi="宋体"/>
          <w:szCs w:val="21"/>
        </w:rPr>
        <w:t>项目名称：</w:t>
      </w:r>
      <w:r>
        <w:rPr>
          <w:rFonts w:hint="eastAsia"/>
          <w:u w:val="single"/>
        </w:rPr>
        <w:t xml:space="preserve">                                           。</w:t>
      </w:r>
    </w:p>
    <w:p w14:paraId="6797B904">
      <w:pPr>
        <w:numPr>
          <w:ilvl w:val="1"/>
          <w:numId w:val="4"/>
        </w:numPr>
        <w:jc w:val="left"/>
        <w:rPr>
          <w:rFonts w:ascii="宋体" w:hAnsi="宋体"/>
          <w:szCs w:val="21"/>
        </w:rPr>
      </w:pPr>
      <w:r>
        <w:rPr>
          <w:rFonts w:hint="eastAsia" w:ascii="宋体" w:hAnsi="宋体"/>
          <w:szCs w:val="21"/>
        </w:rPr>
        <w:t>项目地址及范围：</w:t>
      </w:r>
      <w:r>
        <w:rPr>
          <w:rFonts w:hint="eastAsia" w:ascii="宋体" w:hAnsi="宋体"/>
          <w:szCs w:val="21"/>
          <w:u w:val="single"/>
        </w:rPr>
        <w:t xml:space="preserve">                                   </w:t>
      </w:r>
      <w:r>
        <w:rPr>
          <w:rFonts w:hint="eastAsia"/>
          <w:szCs w:val="18"/>
          <w:u w:val="single"/>
        </w:rPr>
        <w:t>。</w:t>
      </w:r>
      <w:r>
        <w:rPr>
          <w:rFonts w:hint="eastAsia" w:ascii="宋体" w:hAnsi="宋体"/>
          <w:szCs w:val="21"/>
        </w:rPr>
        <w:t xml:space="preserve">                                      </w:t>
      </w:r>
    </w:p>
    <w:p w14:paraId="05B92CAD">
      <w:pPr>
        <w:numPr>
          <w:ilvl w:val="1"/>
          <w:numId w:val="4"/>
        </w:numPr>
        <w:jc w:val="left"/>
        <w:rPr>
          <w:rFonts w:ascii="宋体" w:hAnsi="宋体"/>
          <w:szCs w:val="21"/>
        </w:rPr>
      </w:pPr>
      <w:r>
        <w:rPr>
          <w:rFonts w:hint="eastAsia" w:ascii="宋体" w:hAnsi="宋体"/>
          <w:szCs w:val="21"/>
        </w:rPr>
        <w:t xml:space="preserve">本协议期限：合同签订之日起直至甲、乙双方主合同终止。         </w:t>
      </w:r>
    </w:p>
    <w:p w14:paraId="152799B5">
      <w:pPr>
        <w:jc w:val="left"/>
        <w:rPr>
          <w:rFonts w:ascii="宋体" w:hAnsi="宋体"/>
          <w:b/>
          <w:bCs/>
          <w:szCs w:val="21"/>
        </w:rPr>
      </w:pPr>
      <w:r>
        <w:rPr>
          <w:rFonts w:hint="eastAsia" w:ascii="宋体" w:hAnsi="宋体"/>
          <w:b/>
          <w:bCs/>
          <w:szCs w:val="21"/>
        </w:rPr>
        <w:t xml:space="preserve">二．安全责任 </w:t>
      </w:r>
    </w:p>
    <w:p w14:paraId="068C9A8F">
      <w:pPr>
        <w:ind w:firstLine="420"/>
        <w:jc w:val="left"/>
        <w:rPr>
          <w:rFonts w:ascii="宋体" w:hAnsi="宋体"/>
          <w:szCs w:val="21"/>
        </w:rPr>
      </w:pPr>
      <w:r>
        <w:rPr>
          <w:rFonts w:hint="eastAsia" w:ascii="宋体" w:hAnsi="宋体"/>
          <w:szCs w:val="21"/>
        </w:rPr>
        <w:t>（一）健康安全责任人</w:t>
      </w:r>
    </w:p>
    <w:p w14:paraId="24780BD6">
      <w:pPr>
        <w:ind w:firstLine="420"/>
        <w:jc w:val="left"/>
        <w:rPr>
          <w:rFonts w:ascii="宋体" w:hAnsi="宋体"/>
          <w:szCs w:val="21"/>
        </w:rPr>
      </w:pPr>
      <w:r>
        <w:rPr>
          <w:rFonts w:hint="eastAsia" w:ascii="宋体" w:hAnsi="宋体"/>
          <w:szCs w:val="21"/>
        </w:rPr>
        <w:t xml:space="preserve">甲方项目安全负责人为 </w:t>
      </w:r>
      <w:r>
        <w:rPr>
          <w:rFonts w:hint="eastAsia" w:ascii="宋体" w:hAnsi="宋体"/>
          <w:szCs w:val="21"/>
          <w:u w:val="single"/>
        </w:rPr>
        <w:t xml:space="preserve">        </w:t>
      </w:r>
      <w:r>
        <w:rPr>
          <w:rFonts w:hint="eastAsia" w:ascii="宋体" w:hAnsi="宋体"/>
          <w:szCs w:val="21"/>
        </w:rPr>
        <w:t>。</w:t>
      </w:r>
    </w:p>
    <w:p w14:paraId="2C355589">
      <w:pPr>
        <w:ind w:firstLine="420"/>
        <w:jc w:val="left"/>
        <w:rPr>
          <w:rFonts w:ascii="宋体" w:hAnsi="宋体"/>
          <w:szCs w:val="21"/>
        </w:rPr>
      </w:pPr>
      <w:r>
        <w:rPr>
          <w:rFonts w:hint="eastAsia" w:ascii="宋体" w:hAnsi="宋体"/>
          <w:szCs w:val="21"/>
        </w:rPr>
        <w:t xml:space="preserve">乙方项目安全负责人为 </w:t>
      </w:r>
      <w:r>
        <w:rPr>
          <w:rFonts w:hint="eastAsia" w:ascii="宋体" w:hAnsi="宋体"/>
          <w:szCs w:val="21"/>
          <w:u w:val="single"/>
        </w:rPr>
        <w:t xml:space="preserve">        </w:t>
      </w:r>
      <w:r>
        <w:rPr>
          <w:rFonts w:hint="eastAsia" w:ascii="宋体" w:hAnsi="宋体"/>
          <w:szCs w:val="21"/>
        </w:rPr>
        <w:t>。</w:t>
      </w:r>
    </w:p>
    <w:p w14:paraId="0BF2CC35">
      <w:pPr>
        <w:ind w:firstLine="420"/>
        <w:jc w:val="left"/>
        <w:rPr>
          <w:rFonts w:ascii="宋体" w:hAnsi="宋体"/>
          <w:szCs w:val="21"/>
        </w:rPr>
      </w:pPr>
      <w:r>
        <w:rPr>
          <w:rFonts w:hint="eastAsia" w:ascii="宋体" w:hAnsi="宋体"/>
          <w:szCs w:val="21"/>
        </w:rPr>
        <w:t>（二）双方健康安全责任</w:t>
      </w:r>
    </w:p>
    <w:p w14:paraId="708F2B6D">
      <w:pPr>
        <w:ind w:firstLine="420"/>
        <w:jc w:val="left"/>
        <w:rPr>
          <w:rFonts w:ascii="宋体" w:hAnsi="宋体"/>
          <w:szCs w:val="21"/>
        </w:rPr>
      </w:pPr>
      <w:r>
        <w:rPr>
          <w:rFonts w:hint="eastAsia" w:ascii="宋体" w:hAnsi="宋体"/>
          <w:szCs w:val="21"/>
        </w:rPr>
        <w:t>2.2.1甲方应当对乙方及其分包商的安全资质证书有效性、人证合一进行审核。安全资质证书是指经过国家指定机构培训合格后取得的证书，包括但不仅限于以下人员：</w:t>
      </w:r>
    </w:p>
    <w:p w14:paraId="1892F5A3">
      <w:pPr>
        <w:numPr>
          <w:ilvl w:val="0"/>
          <w:numId w:val="5"/>
        </w:numPr>
        <w:jc w:val="left"/>
        <w:rPr>
          <w:rFonts w:ascii="宋体" w:hAnsi="宋体"/>
          <w:szCs w:val="21"/>
        </w:rPr>
      </w:pPr>
      <w:r>
        <w:rPr>
          <w:rFonts w:hint="eastAsia" w:ascii="宋体" w:hAnsi="宋体"/>
          <w:szCs w:val="21"/>
        </w:rPr>
        <w:t>电工</w:t>
      </w:r>
    </w:p>
    <w:p w14:paraId="439DD7BF">
      <w:pPr>
        <w:numPr>
          <w:ilvl w:val="0"/>
          <w:numId w:val="5"/>
        </w:numPr>
        <w:jc w:val="left"/>
        <w:rPr>
          <w:rFonts w:ascii="宋体" w:hAnsi="宋体"/>
          <w:szCs w:val="21"/>
        </w:rPr>
      </w:pPr>
      <w:r>
        <w:rPr>
          <w:rFonts w:hint="eastAsia" w:ascii="宋体" w:hAnsi="宋体"/>
          <w:szCs w:val="21"/>
        </w:rPr>
        <w:t>焊工</w:t>
      </w:r>
    </w:p>
    <w:p w14:paraId="70E6EEA1">
      <w:pPr>
        <w:numPr>
          <w:ilvl w:val="0"/>
          <w:numId w:val="5"/>
        </w:numPr>
        <w:jc w:val="left"/>
        <w:rPr>
          <w:rFonts w:ascii="宋体" w:hAnsi="宋体"/>
          <w:szCs w:val="21"/>
        </w:rPr>
      </w:pPr>
      <w:r>
        <w:rPr>
          <w:rFonts w:hint="eastAsia" w:ascii="宋体" w:hAnsi="宋体"/>
          <w:szCs w:val="21"/>
        </w:rPr>
        <w:t>脚手架工</w:t>
      </w:r>
    </w:p>
    <w:p w14:paraId="411FF681">
      <w:pPr>
        <w:numPr>
          <w:ilvl w:val="0"/>
          <w:numId w:val="5"/>
        </w:numPr>
        <w:jc w:val="left"/>
        <w:rPr>
          <w:rFonts w:ascii="宋体" w:hAnsi="宋体"/>
          <w:szCs w:val="21"/>
        </w:rPr>
      </w:pPr>
      <w:r>
        <w:rPr>
          <w:rFonts w:hint="eastAsia" w:ascii="宋体" w:hAnsi="宋体"/>
          <w:szCs w:val="21"/>
        </w:rPr>
        <w:t>起重工</w:t>
      </w:r>
    </w:p>
    <w:p w14:paraId="2A08788C">
      <w:pPr>
        <w:numPr>
          <w:ilvl w:val="0"/>
          <w:numId w:val="5"/>
        </w:numPr>
        <w:jc w:val="left"/>
        <w:rPr>
          <w:rFonts w:ascii="宋体" w:hAnsi="宋体"/>
          <w:szCs w:val="21"/>
        </w:rPr>
      </w:pPr>
      <w:r>
        <w:rPr>
          <w:rFonts w:hint="eastAsia" w:ascii="宋体" w:hAnsi="宋体"/>
          <w:szCs w:val="21"/>
        </w:rPr>
        <w:t>塔吊司机</w:t>
      </w:r>
    </w:p>
    <w:p w14:paraId="2EE250BD">
      <w:pPr>
        <w:numPr>
          <w:ilvl w:val="0"/>
          <w:numId w:val="5"/>
        </w:numPr>
        <w:jc w:val="left"/>
        <w:rPr>
          <w:rFonts w:ascii="宋体" w:hAnsi="宋体"/>
          <w:szCs w:val="21"/>
        </w:rPr>
      </w:pPr>
      <w:r>
        <w:rPr>
          <w:rFonts w:hint="eastAsia" w:ascii="宋体" w:hAnsi="宋体"/>
          <w:szCs w:val="21"/>
        </w:rPr>
        <w:t>吊车、叉车、挖机司机</w:t>
      </w:r>
    </w:p>
    <w:p w14:paraId="1370438B">
      <w:pPr>
        <w:numPr>
          <w:ilvl w:val="0"/>
          <w:numId w:val="5"/>
        </w:numPr>
        <w:jc w:val="left"/>
        <w:rPr>
          <w:rFonts w:ascii="宋体" w:hAnsi="宋体"/>
          <w:szCs w:val="21"/>
        </w:rPr>
      </w:pPr>
      <w:r>
        <w:rPr>
          <w:rFonts w:hint="eastAsia" w:ascii="宋体" w:hAnsi="宋体"/>
          <w:szCs w:val="21"/>
        </w:rPr>
        <w:t>普通司机（符合准驾车型）</w:t>
      </w:r>
    </w:p>
    <w:p w14:paraId="2650CC79">
      <w:pPr>
        <w:numPr>
          <w:ilvl w:val="0"/>
          <w:numId w:val="5"/>
        </w:numPr>
        <w:jc w:val="left"/>
        <w:rPr>
          <w:rFonts w:ascii="宋体" w:hAnsi="宋体"/>
          <w:szCs w:val="21"/>
        </w:rPr>
      </w:pPr>
      <w:r>
        <w:rPr>
          <w:rFonts w:hint="eastAsia" w:ascii="宋体" w:hAnsi="宋体"/>
          <w:szCs w:val="21"/>
        </w:rPr>
        <w:t>安全管理人员等</w:t>
      </w:r>
    </w:p>
    <w:p w14:paraId="4DFF91AB">
      <w:pPr>
        <w:ind w:firstLine="420"/>
        <w:jc w:val="left"/>
        <w:rPr>
          <w:rFonts w:ascii="宋体" w:hAnsi="宋体"/>
          <w:szCs w:val="21"/>
        </w:rPr>
      </w:pPr>
      <w:r>
        <w:rPr>
          <w:rFonts w:hint="eastAsia" w:ascii="宋体" w:hAnsi="宋体"/>
          <w:szCs w:val="21"/>
        </w:rPr>
        <w:t>2.2.2甲方有责任和义务告知乙方现场岗位存在的职业危害因素及浓度，公司的职业健康管理及安全管理要求；</w:t>
      </w:r>
    </w:p>
    <w:p w14:paraId="3C5DF2CC">
      <w:pPr>
        <w:ind w:firstLine="420"/>
        <w:jc w:val="left"/>
        <w:rPr>
          <w:rFonts w:ascii="宋体" w:hAnsi="宋体"/>
          <w:szCs w:val="21"/>
        </w:rPr>
      </w:pPr>
      <w:r>
        <w:rPr>
          <w:rFonts w:hint="eastAsia" w:ascii="宋体" w:hAnsi="宋体"/>
          <w:szCs w:val="21"/>
        </w:rPr>
        <w:t>2.2.3甲方应提醒和监督在现场的乙方员工遵守公司的职业健康安全要求，发现乙方员工违章时有义务制止并通知乙方；</w:t>
      </w:r>
    </w:p>
    <w:p w14:paraId="1B0503C6">
      <w:pPr>
        <w:ind w:firstLine="420"/>
        <w:jc w:val="left"/>
        <w:rPr>
          <w:rFonts w:ascii="宋体" w:hAnsi="宋体"/>
          <w:szCs w:val="21"/>
        </w:rPr>
      </w:pPr>
      <w:r>
        <w:rPr>
          <w:rFonts w:hint="eastAsia" w:ascii="宋体" w:hAnsi="宋体"/>
          <w:szCs w:val="21"/>
        </w:rPr>
        <w:t>2.2.4甲方应维护和完善现场的各类职业健康安全防护设施设备正常运行，各类提醒、警告及告知标签的完整；</w:t>
      </w:r>
    </w:p>
    <w:p w14:paraId="024A1F31">
      <w:pPr>
        <w:ind w:firstLine="420"/>
        <w:jc w:val="left"/>
        <w:rPr>
          <w:rFonts w:ascii="宋体" w:hAnsi="宋体"/>
          <w:szCs w:val="21"/>
        </w:rPr>
      </w:pPr>
      <w:r>
        <w:rPr>
          <w:rFonts w:hint="eastAsia" w:ascii="宋体" w:hAnsi="宋体"/>
          <w:szCs w:val="21"/>
        </w:rPr>
        <w:t>2.2.5甲方应采取适当的管理和工程控制措施以不断减少或降低现场职业危害因素；</w:t>
      </w:r>
    </w:p>
    <w:p w14:paraId="790D1013">
      <w:pPr>
        <w:ind w:firstLine="420"/>
        <w:jc w:val="left"/>
        <w:rPr>
          <w:rFonts w:ascii="宋体" w:hAnsi="宋体"/>
          <w:szCs w:val="21"/>
        </w:rPr>
      </w:pPr>
      <w:r>
        <w:rPr>
          <w:rFonts w:hint="eastAsia" w:ascii="宋体" w:hAnsi="宋体"/>
          <w:szCs w:val="21"/>
        </w:rPr>
        <w:t xml:space="preserve">2.2.6甲方有责任督促乙方完善相应的职业健康安全管理制度和体系，要求其管理符合国家及公司的要求，尽最大可能避免职业伤害和职业病、安全事故的发生。 </w:t>
      </w:r>
    </w:p>
    <w:p w14:paraId="2C8F2519">
      <w:pPr>
        <w:ind w:firstLine="420"/>
        <w:jc w:val="left"/>
        <w:rPr>
          <w:rFonts w:ascii="宋体" w:hAnsi="宋体"/>
          <w:szCs w:val="21"/>
        </w:rPr>
      </w:pPr>
      <w:r>
        <w:rPr>
          <w:rFonts w:hint="eastAsia" w:ascii="宋体" w:hAnsi="宋体"/>
          <w:szCs w:val="21"/>
        </w:rPr>
        <w:t>2.2.7乙方应该自行调查了解合同履行过程中的安全因素和甲方现场状况及安全因素。</w:t>
      </w:r>
    </w:p>
    <w:p w14:paraId="6CECBD02">
      <w:pPr>
        <w:ind w:firstLine="420"/>
        <w:jc w:val="left"/>
        <w:rPr>
          <w:rFonts w:ascii="宋体" w:hAnsi="宋体"/>
          <w:szCs w:val="21"/>
        </w:rPr>
      </w:pPr>
      <w:r>
        <w:rPr>
          <w:rFonts w:hint="eastAsia" w:ascii="宋体" w:hAnsi="宋体"/>
          <w:szCs w:val="21"/>
        </w:rPr>
        <w:t>2.2.8乙方应对自己员工和其分包商人员进行充分的安全培训，培训内容包括但不限于国家法律法规、安全制度、安全操作规程、现场安全因素、甲方安全管理制度。</w:t>
      </w:r>
    </w:p>
    <w:p w14:paraId="20B965F8">
      <w:pPr>
        <w:ind w:firstLine="420"/>
        <w:jc w:val="left"/>
        <w:rPr>
          <w:rFonts w:ascii="宋体" w:hAnsi="宋体"/>
          <w:szCs w:val="21"/>
        </w:rPr>
      </w:pPr>
      <w:r>
        <w:rPr>
          <w:rFonts w:hint="eastAsia" w:ascii="宋体" w:hAnsi="宋体"/>
          <w:szCs w:val="21"/>
        </w:rPr>
        <w:t>2.2.9 乙方对自己员工和其分包商负有完全的健康安全管理责任，健康安全事故引起的所有损失由乙方承担；</w:t>
      </w:r>
    </w:p>
    <w:p w14:paraId="1A48D23F">
      <w:pPr>
        <w:ind w:firstLine="420"/>
        <w:jc w:val="left"/>
        <w:rPr>
          <w:rFonts w:ascii="宋体" w:hAnsi="宋体"/>
          <w:szCs w:val="21"/>
        </w:rPr>
      </w:pPr>
      <w:r>
        <w:rPr>
          <w:rFonts w:hint="eastAsia" w:ascii="宋体" w:hAnsi="宋体"/>
          <w:szCs w:val="21"/>
        </w:rPr>
        <w:t>2.2.10 由乙方及分包商人员安全事故而引起的政府罚款（包括对甲方的部分）将由乙方完全承担；乙方及其分包商人员产生损失工作日以上安全事故，乙方应承担相应的违约责任（见第六条《违约责任》）；</w:t>
      </w:r>
    </w:p>
    <w:p w14:paraId="3200BFC5">
      <w:pPr>
        <w:ind w:firstLine="420"/>
        <w:jc w:val="left"/>
        <w:rPr>
          <w:rFonts w:ascii="宋体" w:hAnsi="宋体"/>
          <w:szCs w:val="21"/>
        </w:rPr>
      </w:pPr>
      <w:r>
        <w:rPr>
          <w:rFonts w:hint="eastAsia" w:ascii="宋体" w:hAnsi="宋体"/>
          <w:szCs w:val="21"/>
        </w:rPr>
        <w:t>2..2.11 乙方进场施工前应持本《安全协议》到甲方安全部门培训；由安全部门对所有的施工从业人员进行统一的健康安全培训；进场后期没有参加健康安全培训的工人，由乙方自己提供健康安全培训，并向甲方提供详细记录；</w:t>
      </w:r>
    </w:p>
    <w:p w14:paraId="0479288D">
      <w:pPr>
        <w:ind w:firstLine="420"/>
        <w:jc w:val="left"/>
        <w:rPr>
          <w:rFonts w:ascii="宋体" w:hAnsi="宋体"/>
          <w:szCs w:val="21"/>
        </w:rPr>
      </w:pPr>
      <w:r>
        <w:rPr>
          <w:rFonts w:hint="eastAsia" w:ascii="宋体" w:hAnsi="宋体"/>
          <w:szCs w:val="21"/>
        </w:rPr>
        <w:t>2.2.12乙方有责任和义务要求员工维护现场的各类职业健康安全防护设备设施，标识的完整，发现异常有义务报告并立即停止作业；</w:t>
      </w:r>
    </w:p>
    <w:p w14:paraId="48E7F078">
      <w:pPr>
        <w:ind w:firstLine="420"/>
        <w:jc w:val="left"/>
        <w:rPr>
          <w:rFonts w:ascii="宋体" w:hAnsi="宋体"/>
          <w:szCs w:val="21"/>
        </w:rPr>
      </w:pPr>
      <w:r>
        <w:rPr>
          <w:rFonts w:hint="eastAsia" w:ascii="宋体" w:hAnsi="宋体"/>
          <w:szCs w:val="21"/>
        </w:rPr>
        <w:t>2..2.13乙方有责任和义务配合和要求员工遵守甲方为保护员工健康安全而设立的各类职业健康安全规章制度，设备设施操作规程，防护用品采购维护保养更换要求等；</w:t>
      </w:r>
    </w:p>
    <w:p w14:paraId="6060630F">
      <w:pPr>
        <w:ind w:firstLine="420"/>
        <w:jc w:val="left"/>
        <w:rPr>
          <w:rFonts w:ascii="宋体" w:hAnsi="宋体"/>
          <w:szCs w:val="21"/>
        </w:rPr>
      </w:pPr>
      <w:r>
        <w:rPr>
          <w:rFonts w:hint="eastAsia" w:ascii="宋体" w:hAnsi="宋体"/>
          <w:szCs w:val="21"/>
        </w:rPr>
        <w:t>2..2.14乙方对乙方员工在公司现场工作的职业健康安全负有全部的培训及管理,提醒,告知,监督责任,并有义务承担因工作现场存在的职业危害因素而导致乙方员工，发生职业伤害或职业病负有全部的经济和法律责任。</w:t>
      </w:r>
    </w:p>
    <w:p w14:paraId="72938304">
      <w:pPr>
        <w:jc w:val="left"/>
        <w:rPr>
          <w:rFonts w:ascii="宋体" w:hAnsi="宋体"/>
          <w:b/>
          <w:szCs w:val="21"/>
        </w:rPr>
      </w:pPr>
      <w:r>
        <w:rPr>
          <w:rFonts w:hint="eastAsia" w:ascii="宋体" w:hAnsi="宋体"/>
          <w:b/>
          <w:szCs w:val="21"/>
        </w:rPr>
        <w:t>三、乙方履行合同应当遵守法律法规、规章制度、操作规程、甲方管理制度，包括但不仅限于：</w:t>
      </w:r>
    </w:p>
    <w:p w14:paraId="0D910417">
      <w:pPr>
        <w:ind w:firstLine="420"/>
        <w:jc w:val="left"/>
        <w:rPr>
          <w:rFonts w:ascii="宋体" w:hAnsi="宋体"/>
          <w:szCs w:val="21"/>
        </w:rPr>
      </w:pPr>
      <w:r>
        <w:rPr>
          <w:rFonts w:hint="eastAsia" w:ascii="宋体" w:hAnsi="宋体"/>
          <w:szCs w:val="21"/>
        </w:rPr>
        <w:t>《中华人民共和国安全生产法》、《中华人民共和国道路交通法》、《华新水泥股份有限公司高空作业程序》、《华新水泥股份有限公司员工健康与安全手册》、《华新水泥股份有限公司合同方安全管理规定》、《华新水泥股份有限公司物流运输管理规定》及本《安全协议》。</w:t>
      </w:r>
    </w:p>
    <w:p w14:paraId="00F2CBE5">
      <w:pPr>
        <w:rPr>
          <w:rFonts w:hAnsi="宋体"/>
          <w:b/>
          <w:szCs w:val="21"/>
        </w:rPr>
      </w:pPr>
      <w:r>
        <w:rPr>
          <w:rFonts w:hint="eastAsia" w:hAnsi="宋体"/>
          <w:b/>
          <w:szCs w:val="21"/>
        </w:rPr>
        <w:t xml:space="preserve">四．乙方主要义务： </w:t>
      </w:r>
    </w:p>
    <w:p w14:paraId="6A058E4D">
      <w:pPr>
        <w:ind w:firstLine="420" w:firstLineChars="200"/>
        <w:jc w:val="left"/>
        <w:rPr>
          <w:rFonts w:ascii="宋体" w:hAnsi="宋体"/>
          <w:szCs w:val="21"/>
        </w:rPr>
      </w:pPr>
      <w:r>
        <w:rPr>
          <w:rFonts w:hint="eastAsia" w:ascii="宋体" w:hAnsi="宋体"/>
          <w:szCs w:val="21"/>
        </w:rPr>
        <w:t>4.1 乙方必须遵守国家的职业健康&amp;安全相关法律、法规及甲方的职业健康&amp;安全政策，如违反公司相关政策或发生职业病或职业伤害案例及安全事故，由乙方承担所有的经济责任及法律责任。</w:t>
      </w:r>
    </w:p>
    <w:p w14:paraId="265E1AB3">
      <w:pPr>
        <w:ind w:firstLine="420" w:firstLineChars="200"/>
        <w:jc w:val="left"/>
        <w:rPr>
          <w:rFonts w:ascii="宋体" w:hAnsi="宋体"/>
          <w:szCs w:val="21"/>
        </w:rPr>
      </w:pPr>
      <w:r>
        <w:rPr>
          <w:rFonts w:hint="eastAsia" w:ascii="宋体" w:hAnsi="宋体"/>
          <w:szCs w:val="21"/>
        </w:rPr>
        <w:t>4.2乙方必须制订其相应的职业健康&amp;安全管理制度并保证在作业期间得到执行。包括但不限于为员工购买相应的工伤、社会保险，建立职业健康监护体系,培训告知体系,劳动防护用品管理体系及员工个人职业健康档案等，并按国家要求定期执行和检查执行效果，并承担所有的经济及法律责任。</w:t>
      </w:r>
    </w:p>
    <w:p w14:paraId="44956F89">
      <w:pPr>
        <w:ind w:firstLine="420" w:firstLineChars="200"/>
        <w:jc w:val="left"/>
        <w:rPr>
          <w:rFonts w:ascii="宋体" w:hAnsi="宋体"/>
          <w:szCs w:val="21"/>
        </w:rPr>
      </w:pPr>
      <w:r>
        <w:rPr>
          <w:rFonts w:hint="eastAsia" w:ascii="宋体" w:hAnsi="宋体"/>
          <w:szCs w:val="21"/>
        </w:rPr>
        <w:t>4.3乙方必须保证其所使用的设备、工具、个人防护用品符合国家法规及甲方的职业健康&amp;安全规定。</w:t>
      </w:r>
    </w:p>
    <w:p w14:paraId="51621F73">
      <w:pPr>
        <w:ind w:firstLine="420" w:firstLineChars="200"/>
        <w:jc w:val="left"/>
        <w:rPr>
          <w:rFonts w:ascii="宋体" w:hAnsi="宋体"/>
          <w:szCs w:val="21"/>
        </w:rPr>
      </w:pPr>
      <w:r>
        <w:rPr>
          <w:rFonts w:hint="eastAsia" w:ascii="宋体" w:hAnsi="宋体"/>
          <w:szCs w:val="21"/>
        </w:rPr>
        <w:t>4.4乙方必须保证其员工作业前进行工作中的职业危害&amp;安全风险分析，相关作业还应得到安全许可，定期进行安全检查并及时消除存在的安全隐患，并保存相关文档。</w:t>
      </w:r>
    </w:p>
    <w:p w14:paraId="7B283161">
      <w:pPr>
        <w:ind w:firstLine="420" w:firstLineChars="200"/>
        <w:jc w:val="left"/>
        <w:rPr>
          <w:rFonts w:ascii="宋体" w:hAnsi="宋体"/>
          <w:szCs w:val="21"/>
        </w:rPr>
      </w:pPr>
      <w:r>
        <w:rPr>
          <w:rFonts w:hint="eastAsia" w:ascii="宋体" w:hAnsi="宋体"/>
          <w:szCs w:val="21"/>
        </w:rPr>
        <w:t>4.5乙方不得安排未成年人员和超过法定退休年龄的人从事工作，不得安排孕期，哺乳期的女职工从事与本人和胎儿、婴儿有害的作业;不得安排有职业禁忌的员工在危害岗位。</w:t>
      </w:r>
    </w:p>
    <w:p w14:paraId="20B45CBA">
      <w:pPr>
        <w:ind w:firstLine="420" w:firstLineChars="200"/>
        <w:jc w:val="left"/>
        <w:rPr>
          <w:rFonts w:ascii="宋体" w:hAnsi="宋体"/>
          <w:szCs w:val="21"/>
        </w:rPr>
      </w:pPr>
      <w:r>
        <w:rPr>
          <w:rFonts w:hint="eastAsia" w:ascii="宋体" w:hAnsi="宋体"/>
          <w:szCs w:val="21"/>
        </w:rPr>
        <w:t>4.6乙方对在甲方现场工作的员工的职业健康&amp;安全负有全部的管理及监护责任，同时为管理或监护不善导致的一切后果承担相应的经济和法律责任。</w:t>
      </w:r>
    </w:p>
    <w:p w14:paraId="21C0E1E2">
      <w:pPr>
        <w:ind w:firstLine="420" w:firstLineChars="200"/>
        <w:jc w:val="left"/>
        <w:rPr>
          <w:rFonts w:ascii="宋体" w:hAnsi="宋体"/>
          <w:szCs w:val="21"/>
        </w:rPr>
      </w:pPr>
      <w:r>
        <w:rPr>
          <w:rFonts w:hint="eastAsia" w:ascii="宋体" w:hAnsi="宋体"/>
          <w:szCs w:val="21"/>
        </w:rPr>
        <w:t>4.7 乙方不能干预和阻挠甲方执行上述规定，否则甲方有权要求乙方限时整改，同时乙方不得以此作为增加工程费用及合同金额的理由。</w:t>
      </w:r>
    </w:p>
    <w:p w14:paraId="3E1B84F5">
      <w:pPr>
        <w:ind w:firstLine="420" w:firstLineChars="200"/>
        <w:rPr>
          <w:rFonts w:ascii="宋体" w:hAnsi="宋体"/>
          <w:szCs w:val="21"/>
        </w:rPr>
      </w:pPr>
      <w:r>
        <w:rPr>
          <w:rFonts w:hint="eastAsia" w:ascii="宋体" w:hAnsi="宋体"/>
          <w:szCs w:val="21"/>
        </w:rPr>
        <w:t>4.8 乙方保证如造成甲方设施损坏，无条件进行赔偿或修复。</w:t>
      </w:r>
    </w:p>
    <w:p w14:paraId="20BADC68">
      <w:pPr>
        <w:ind w:firstLine="420" w:firstLineChars="200"/>
        <w:rPr>
          <w:rFonts w:ascii="宋体" w:hAnsi="宋体"/>
          <w:szCs w:val="21"/>
        </w:rPr>
      </w:pPr>
      <w:r>
        <w:rPr>
          <w:rFonts w:hint="eastAsia" w:ascii="宋体" w:hAnsi="宋体"/>
          <w:szCs w:val="21"/>
        </w:rPr>
        <w:t>4.9 乙方保证若不能遵守本健康安全协议的内容，将无条件服从甲方停工整顿决定，并承担相应的损失。</w:t>
      </w:r>
    </w:p>
    <w:p w14:paraId="2308E525">
      <w:pPr>
        <w:ind w:firstLine="420" w:firstLineChars="200"/>
        <w:rPr>
          <w:rFonts w:ascii="宋体" w:hAnsi="宋体"/>
          <w:szCs w:val="21"/>
        </w:rPr>
      </w:pPr>
      <w:r>
        <w:rPr>
          <w:rFonts w:hint="eastAsia" w:ascii="宋体" w:hAnsi="宋体"/>
          <w:szCs w:val="21"/>
        </w:rPr>
        <w:t>4.10进场施工或生产现场必须</w:t>
      </w:r>
      <w:r>
        <w:rPr>
          <w:rFonts w:hint="eastAsia" w:ascii="宋体" w:hAnsi="宋体"/>
          <w:b/>
          <w:szCs w:val="21"/>
        </w:rPr>
        <w:t>正确佩带安全帽和安全鞋，统一的工作服</w:t>
      </w:r>
      <w:r>
        <w:rPr>
          <w:rFonts w:hint="eastAsia" w:ascii="宋体" w:hAnsi="宋体"/>
          <w:szCs w:val="21"/>
        </w:rPr>
        <w:t>。</w:t>
      </w:r>
    </w:p>
    <w:p w14:paraId="00781523">
      <w:pPr>
        <w:ind w:firstLine="420" w:firstLineChars="200"/>
        <w:rPr>
          <w:rFonts w:ascii="宋体" w:hAnsi="宋体"/>
          <w:szCs w:val="21"/>
        </w:rPr>
      </w:pPr>
      <w:r>
        <w:rPr>
          <w:rFonts w:hint="eastAsia" w:ascii="宋体" w:hAnsi="宋体"/>
          <w:szCs w:val="21"/>
        </w:rPr>
        <w:t>4.11 在</w:t>
      </w:r>
      <w:r>
        <w:rPr>
          <w:rFonts w:hint="eastAsia" w:ascii="宋体" w:hAnsi="宋体"/>
          <w:b/>
          <w:szCs w:val="21"/>
        </w:rPr>
        <w:t>1.8米以</w:t>
      </w:r>
      <w:r>
        <w:rPr>
          <w:rFonts w:hint="eastAsia" w:ascii="宋体" w:hAnsi="宋体"/>
          <w:szCs w:val="21"/>
        </w:rPr>
        <w:t>上的没有安全防护设施的地方作业，必须系全身式安全带；需要移动时，必须系双挂钩安全带，如脚手架搭设。</w:t>
      </w:r>
    </w:p>
    <w:p w14:paraId="64DE4CEE">
      <w:pPr>
        <w:ind w:firstLine="420" w:firstLineChars="200"/>
        <w:rPr>
          <w:rFonts w:ascii="宋体" w:hAnsi="宋体"/>
          <w:szCs w:val="21"/>
        </w:rPr>
      </w:pPr>
      <w:r>
        <w:rPr>
          <w:rFonts w:hint="eastAsia" w:ascii="宋体" w:hAnsi="宋体"/>
          <w:szCs w:val="21"/>
        </w:rPr>
        <w:t>4.12 乙方必须使用符合国家标准的设备、工具，不准使用报废的、存在严重安全隐患的设备或工具。</w:t>
      </w:r>
    </w:p>
    <w:p w14:paraId="436AC3B4">
      <w:pPr>
        <w:ind w:firstLine="420" w:firstLineChars="200"/>
        <w:rPr>
          <w:rFonts w:hAnsi="宋体"/>
          <w:bCs/>
          <w:iCs/>
          <w:szCs w:val="21"/>
        </w:rPr>
      </w:pPr>
      <w:r>
        <w:rPr>
          <w:rFonts w:hint="eastAsia" w:ascii="宋体" w:hAnsi="宋体"/>
          <w:szCs w:val="21"/>
        </w:rPr>
        <w:t>4.13 现场车辆移动时不准上、下车，车辆停在斜坡时应用三角木垫住</w:t>
      </w:r>
      <w:r>
        <w:rPr>
          <w:rFonts w:hint="eastAsia" w:hAnsi="宋体"/>
          <w:bCs/>
          <w:iCs/>
          <w:szCs w:val="21"/>
        </w:rPr>
        <w:t>。</w:t>
      </w:r>
    </w:p>
    <w:p w14:paraId="446DA38C">
      <w:pPr>
        <w:ind w:firstLine="420" w:firstLineChars="200"/>
        <w:rPr>
          <w:rFonts w:ascii="宋体" w:hAnsi="宋体"/>
          <w:szCs w:val="21"/>
        </w:rPr>
      </w:pPr>
      <w:r>
        <w:rPr>
          <w:rFonts w:hint="eastAsia" w:ascii="宋体" w:hAnsi="宋体"/>
          <w:szCs w:val="21"/>
        </w:rPr>
        <w:t>4.14 严禁酒后作业，严禁未经许可私自触摸或启动生产设备。</w:t>
      </w:r>
    </w:p>
    <w:p w14:paraId="68BF8FDB">
      <w:pPr>
        <w:ind w:firstLine="420" w:firstLineChars="200"/>
        <w:rPr>
          <w:rFonts w:ascii="宋体" w:hAnsi="宋体"/>
          <w:szCs w:val="21"/>
        </w:rPr>
      </w:pPr>
      <w:r>
        <w:rPr>
          <w:rFonts w:hint="eastAsia" w:ascii="宋体" w:hAnsi="宋体"/>
          <w:szCs w:val="21"/>
        </w:rPr>
        <w:t>4.15 气瓶相距5米以上,气瓶到动火点10米以上，气瓶必须固定.按要求使用瓶帽、压力表、防回火阀。</w:t>
      </w:r>
    </w:p>
    <w:p w14:paraId="0324E66D">
      <w:pPr>
        <w:ind w:firstLine="420" w:firstLineChars="200"/>
        <w:rPr>
          <w:rFonts w:ascii="宋体" w:hAnsi="宋体"/>
          <w:szCs w:val="21"/>
        </w:rPr>
      </w:pPr>
      <w:r>
        <w:rPr>
          <w:rFonts w:hint="eastAsia" w:ascii="宋体" w:hAnsi="宋体"/>
          <w:szCs w:val="21"/>
        </w:rPr>
        <w:t>4.16 乙方在施工中，必须要2人以上在现场（1人操作，1人指挥）</w:t>
      </w:r>
    </w:p>
    <w:p w14:paraId="005CE61B">
      <w:pPr>
        <w:ind w:firstLine="420" w:firstLineChars="200"/>
        <w:rPr>
          <w:rFonts w:ascii="宋体" w:hAnsi="宋体"/>
          <w:szCs w:val="21"/>
        </w:rPr>
      </w:pPr>
      <w:r>
        <w:rPr>
          <w:rFonts w:hint="eastAsia" w:ascii="宋体" w:hAnsi="宋体"/>
          <w:szCs w:val="21"/>
        </w:rPr>
        <w:t>4.17  国家法律法规及甲方安全制度规定的其他安全要求。</w:t>
      </w:r>
    </w:p>
    <w:p w14:paraId="1D9548DD">
      <w:pPr>
        <w:rPr>
          <w:rFonts w:ascii="宋体" w:hAnsi="宋体"/>
          <w:b/>
          <w:szCs w:val="21"/>
        </w:rPr>
      </w:pPr>
      <w:r>
        <w:rPr>
          <w:rFonts w:hint="eastAsia" w:ascii="宋体" w:hAnsi="宋体"/>
          <w:b/>
          <w:szCs w:val="21"/>
        </w:rPr>
        <w:t>五、乙方申明与</w:t>
      </w:r>
      <w:r>
        <w:rPr>
          <w:rFonts w:ascii="宋体" w:hAnsi="宋体"/>
          <w:b/>
          <w:szCs w:val="21"/>
        </w:rPr>
        <w:t>保证</w:t>
      </w:r>
      <w:r>
        <w:rPr>
          <w:rFonts w:hint="eastAsia" w:ascii="宋体" w:hAnsi="宋体"/>
          <w:b/>
          <w:szCs w:val="21"/>
        </w:rPr>
        <w:t>：</w:t>
      </w:r>
    </w:p>
    <w:p w14:paraId="596AAEE6">
      <w:pPr>
        <w:ind w:firstLine="420" w:firstLineChars="200"/>
        <w:jc w:val="left"/>
        <w:rPr>
          <w:rFonts w:ascii="宋体" w:hAnsi="宋体"/>
          <w:szCs w:val="21"/>
        </w:rPr>
      </w:pPr>
      <w:r>
        <w:rPr>
          <w:rFonts w:hint="eastAsia" w:ascii="宋体" w:hAnsi="宋体"/>
          <w:szCs w:val="21"/>
        </w:rPr>
        <w:t>5.1依照国家规定建立了安全管理体系并有效运行，有制度化的安全培训，按国家标准和甲方要求配齐并正确穿戴劳动防护用品。</w:t>
      </w:r>
    </w:p>
    <w:p w14:paraId="20964EDC">
      <w:pPr>
        <w:ind w:firstLine="420" w:firstLineChars="200"/>
        <w:jc w:val="left"/>
        <w:rPr>
          <w:rFonts w:ascii="宋体" w:hAnsi="宋体"/>
          <w:szCs w:val="21"/>
        </w:rPr>
      </w:pPr>
      <w:r>
        <w:rPr>
          <w:rFonts w:hint="eastAsia" w:ascii="宋体" w:hAnsi="宋体"/>
          <w:szCs w:val="21"/>
        </w:rPr>
        <w:t>5.2 在主合同履行前熟知与合同履行有关的安全因素、甲方的安全管理制度，并对与履行主合同有关人员进行了充分培训。</w:t>
      </w:r>
    </w:p>
    <w:p w14:paraId="683C592D">
      <w:pPr>
        <w:ind w:firstLine="420" w:firstLineChars="200"/>
        <w:jc w:val="left"/>
        <w:rPr>
          <w:rFonts w:ascii="宋体" w:hAnsi="宋体"/>
          <w:szCs w:val="21"/>
        </w:rPr>
      </w:pPr>
      <w:r>
        <w:rPr>
          <w:rFonts w:hint="eastAsia" w:ascii="宋体" w:hAnsi="宋体"/>
          <w:szCs w:val="21"/>
        </w:rPr>
        <w:t>5.3 不干预、不阻挠甲方执行本协议第三条约定的法律法规、规章制度、操作规程及管理罐，否则甲方有权要求乙方限时整改，整改不合格甲方可解除主合同，同时乙方不得以此为由追究甲方违约责任或要求增加费用。</w:t>
      </w:r>
    </w:p>
    <w:p w14:paraId="18BD576A">
      <w:pPr>
        <w:ind w:firstLine="420" w:firstLineChars="200"/>
        <w:rPr>
          <w:rFonts w:ascii="宋体" w:hAnsi="宋体"/>
          <w:szCs w:val="21"/>
        </w:rPr>
      </w:pPr>
      <w:r>
        <w:rPr>
          <w:rFonts w:hint="eastAsia" w:ascii="宋体" w:hAnsi="宋体"/>
          <w:szCs w:val="21"/>
        </w:rPr>
        <w:t>5.4 尽管本协议约定了甲方在安全方面的责任，但乙方认识到，安全进行施工是乙方的主要义务，除非甲方指令或甲方操作是安全事故发生的主要原因，乙方不因本协议的约定而要求甲方对事故造成的后果及经济损失承担任何责任。</w:t>
      </w:r>
    </w:p>
    <w:p w14:paraId="64697CF2">
      <w:pPr>
        <w:rPr>
          <w:rFonts w:ascii="宋体" w:hAnsi="宋体"/>
          <w:b/>
          <w:bCs/>
          <w:szCs w:val="21"/>
        </w:rPr>
      </w:pPr>
      <w:r>
        <w:rPr>
          <w:rFonts w:hint="eastAsia" w:ascii="宋体" w:hAnsi="宋体"/>
          <w:b/>
          <w:bCs/>
          <w:szCs w:val="21"/>
        </w:rPr>
        <w:t>六、违约责任</w:t>
      </w:r>
    </w:p>
    <w:p w14:paraId="001F57ED">
      <w:pPr>
        <w:pStyle w:val="95"/>
        <w:pBdr>
          <w:top w:val="none" w:color="auto" w:sz="0" w:space="0"/>
        </w:pBdr>
        <w:spacing w:before="40" w:after="40"/>
        <w:ind w:left="420" w:leftChars="200"/>
        <w:jc w:val="both"/>
        <w:rPr>
          <w:i w:val="0"/>
          <w:iCs/>
          <w:sz w:val="21"/>
          <w:szCs w:val="21"/>
        </w:rPr>
      </w:pPr>
      <w:r>
        <w:rPr>
          <w:rFonts w:hint="eastAsia"/>
          <w:i w:val="0"/>
          <w:iCs/>
          <w:sz w:val="21"/>
          <w:szCs w:val="21"/>
        </w:rPr>
        <w:t>6.1 口头警告</w:t>
      </w:r>
    </w:p>
    <w:p w14:paraId="01DBDDF3">
      <w:pPr>
        <w:pStyle w:val="95"/>
        <w:pBdr>
          <w:top w:val="none" w:color="auto" w:sz="0" w:space="0"/>
        </w:pBdr>
        <w:spacing w:before="40" w:after="40"/>
        <w:ind w:firstLine="420" w:firstLineChars="200"/>
        <w:jc w:val="both"/>
        <w:rPr>
          <w:i w:val="0"/>
          <w:iCs/>
          <w:sz w:val="21"/>
          <w:szCs w:val="21"/>
        </w:rPr>
      </w:pPr>
      <w:r>
        <w:rPr>
          <w:rFonts w:hint="eastAsia"/>
          <w:i w:val="0"/>
          <w:iCs/>
          <w:sz w:val="21"/>
          <w:szCs w:val="21"/>
        </w:rPr>
        <w:t>在甲方现场检查中发现的一般或轻微安全隐患，甲方向乙方发出口头警告，乙方应及时解决所发现的隐患。</w:t>
      </w:r>
    </w:p>
    <w:p w14:paraId="0D011F30">
      <w:pPr>
        <w:pStyle w:val="95"/>
        <w:pBdr>
          <w:top w:val="none" w:color="auto" w:sz="0" w:space="0"/>
        </w:pBdr>
        <w:spacing w:before="40" w:after="40"/>
        <w:ind w:left="420" w:leftChars="200"/>
        <w:jc w:val="both"/>
        <w:rPr>
          <w:i w:val="0"/>
          <w:iCs/>
          <w:sz w:val="21"/>
          <w:szCs w:val="21"/>
        </w:rPr>
      </w:pPr>
      <w:r>
        <w:rPr>
          <w:rFonts w:hint="eastAsia"/>
          <w:i w:val="0"/>
          <w:iCs/>
          <w:sz w:val="21"/>
          <w:szCs w:val="21"/>
        </w:rPr>
        <w:t>6.2 乙方有下列情形之一，构成一般违章，应向甲方支付违约金100-500元：：</w:t>
      </w:r>
    </w:p>
    <w:p w14:paraId="01339728">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6.2.1 未经培训的人员进入工厂施工；</w:t>
      </w:r>
    </w:p>
    <w:p w14:paraId="0BF1C88B">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6.2.2 现场人员没有或不正确配戴安全防护品，如未戴安全帽等；</w:t>
      </w:r>
    </w:p>
    <w:p w14:paraId="53103DBF">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6.2.3 作业环境杂乱影响正常通行、未经甲方许可自行接电的；</w:t>
      </w:r>
    </w:p>
    <w:p w14:paraId="1DFBF78C">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6.2.4 在禁烟区吸烟；在厂区内通行不走人行道；</w:t>
      </w:r>
    </w:p>
    <w:p w14:paraId="53676914">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6.2.5 在厂区内超速行驶，不遵守其他驾驶安全规定的，如驾乘时不系安全带、驾驶时接打手机等；</w:t>
      </w:r>
    </w:p>
    <w:p w14:paraId="0D035A24">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6.2.6 未执行工完场清；在收到甲方《安全隐患整改通知单》后，在限定时间内无正当理由未解决现场隐患的情况等。</w:t>
      </w:r>
    </w:p>
    <w:p w14:paraId="5896A22E">
      <w:pPr>
        <w:pStyle w:val="95"/>
        <w:pBdr>
          <w:top w:val="none" w:color="auto" w:sz="0" w:space="0"/>
        </w:pBdr>
        <w:spacing w:before="40" w:after="40"/>
        <w:ind w:firstLine="420" w:firstLineChars="200"/>
        <w:jc w:val="both"/>
        <w:rPr>
          <w:i w:val="0"/>
          <w:iCs/>
          <w:sz w:val="21"/>
          <w:szCs w:val="21"/>
        </w:rPr>
      </w:pPr>
      <w:r>
        <w:rPr>
          <w:rFonts w:hint="eastAsia"/>
          <w:i w:val="0"/>
          <w:iCs/>
          <w:sz w:val="21"/>
          <w:szCs w:val="21"/>
        </w:rPr>
        <w:t>6.2.7 其他违反甲方安全规定的一般违章行为</w:t>
      </w:r>
    </w:p>
    <w:p w14:paraId="6B411EF3">
      <w:pPr>
        <w:pStyle w:val="95"/>
        <w:pBdr>
          <w:top w:val="none" w:color="auto" w:sz="0" w:space="0"/>
        </w:pBdr>
        <w:spacing w:before="40" w:after="40"/>
        <w:ind w:left="420" w:leftChars="200"/>
        <w:jc w:val="both"/>
        <w:rPr>
          <w:i w:val="0"/>
          <w:iCs/>
          <w:sz w:val="21"/>
          <w:szCs w:val="21"/>
        </w:rPr>
      </w:pPr>
      <w:r>
        <w:rPr>
          <w:rFonts w:hint="eastAsia"/>
          <w:i w:val="0"/>
          <w:iCs/>
          <w:sz w:val="21"/>
          <w:szCs w:val="21"/>
        </w:rPr>
        <w:t>6.3 乙方有下列情形之一，构成严重违章,应向甲方支付违约金500-3000元</w:t>
      </w:r>
    </w:p>
    <w:p w14:paraId="0CED8EE3">
      <w:pPr>
        <w:pStyle w:val="95"/>
        <w:pBdr>
          <w:top w:val="none" w:color="auto" w:sz="0" w:space="0"/>
        </w:pBdr>
        <w:spacing w:before="40" w:after="40"/>
        <w:ind w:left="420" w:leftChars="200"/>
        <w:jc w:val="both"/>
        <w:rPr>
          <w:i w:val="0"/>
          <w:iCs/>
          <w:sz w:val="21"/>
          <w:szCs w:val="21"/>
        </w:rPr>
      </w:pPr>
      <w:r>
        <w:rPr>
          <w:rFonts w:hint="eastAsia"/>
          <w:i w:val="0"/>
          <w:iCs/>
          <w:sz w:val="21"/>
          <w:szCs w:val="21"/>
        </w:rPr>
        <w:t>6.3.1 常规作业前未执行风险分析；</w:t>
      </w:r>
    </w:p>
    <w:p w14:paraId="3CA1ED27">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6.3.2 安排未经三级安全教育的人员上岗；</w:t>
      </w:r>
    </w:p>
    <w:p w14:paraId="2169CA0C">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6.3.3 工作结束后未对工作许可进行关闭；</w:t>
      </w:r>
    </w:p>
    <w:p w14:paraId="02743CA0">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6.3.4 管理人员违章指挥；</w:t>
      </w:r>
    </w:p>
    <w:p w14:paraId="446C3B2A">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6.3.5 隐患未整改导致发生损失工作日事故（LTI）以上事故；</w:t>
      </w:r>
    </w:p>
    <w:p w14:paraId="26285CAE">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6.3.6 工作结束后未按规定恢复安全附件；</w:t>
      </w:r>
    </w:p>
    <w:p w14:paraId="2C5D274A">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6.3.7 30天内出现两次一般违章。</w:t>
      </w:r>
    </w:p>
    <w:p w14:paraId="1098566B">
      <w:pPr>
        <w:pStyle w:val="95"/>
        <w:pBdr>
          <w:top w:val="none" w:color="auto" w:sz="0" w:space="0"/>
        </w:pBdr>
        <w:spacing w:before="40" w:after="40"/>
        <w:ind w:firstLine="420" w:firstLineChars="200"/>
        <w:jc w:val="both"/>
        <w:rPr>
          <w:i w:val="0"/>
          <w:iCs/>
          <w:sz w:val="21"/>
          <w:szCs w:val="21"/>
        </w:rPr>
      </w:pPr>
      <w:r>
        <w:rPr>
          <w:rFonts w:hint="eastAsia"/>
          <w:i w:val="0"/>
          <w:iCs/>
          <w:sz w:val="21"/>
          <w:szCs w:val="21"/>
        </w:rPr>
        <w:t>6.3.8 其他违反甲方安全规定的严重违章行为</w:t>
      </w:r>
    </w:p>
    <w:p w14:paraId="0B19B587">
      <w:pPr>
        <w:pStyle w:val="95"/>
        <w:pBdr>
          <w:top w:val="none" w:color="auto" w:sz="0" w:space="0"/>
        </w:pBdr>
        <w:spacing w:before="40" w:after="40"/>
        <w:ind w:firstLine="420" w:firstLineChars="200"/>
        <w:jc w:val="both"/>
        <w:rPr>
          <w:i w:val="0"/>
          <w:iCs/>
          <w:sz w:val="21"/>
          <w:szCs w:val="21"/>
        </w:rPr>
      </w:pPr>
      <w:r>
        <w:rPr>
          <w:rFonts w:hint="eastAsia"/>
          <w:i w:val="0"/>
          <w:iCs/>
          <w:sz w:val="21"/>
          <w:szCs w:val="21"/>
        </w:rPr>
        <w:t>6.4  乙方有以下情形之一，甲方有权终止主合同，一年内禁止乙方与甲方及甲方关联公司合作，并要求乙方支付违约金10000元、要求乙方承担因此造成的损失：</w:t>
      </w:r>
    </w:p>
    <w:p w14:paraId="28AA592A">
      <w:pPr>
        <w:pStyle w:val="95"/>
        <w:pBdr>
          <w:top w:val="none" w:color="auto" w:sz="0" w:space="0"/>
        </w:pBdr>
        <w:spacing w:before="40" w:after="40"/>
        <w:ind w:firstLine="420" w:firstLineChars="200"/>
        <w:jc w:val="both"/>
        <w:rPr>
          <w:i w:val="0"/>
          <w:iCs/>
          <w:sz w:val="21"/>
          <w:szCs w:val="21"/>
        </w:rPr>
      </w:pPr>
      <w:r>
        <w:rPr>
          <w:rFonts w:hint="eastAsia"/>
          <w:i w:val="0"/>
          <w:iCs/>
          <w:sz w:val="21"/>
          <w:szCs w:val="21"/>
        </w:rPr>
        <w:t>连续90天内三次一般违章；连续90天内两次严重违章；未对设备进行有效能量隔离就开始工作的；高风险作业无防护/保护措施（如受限空间作业、高空作业、受限区域内动火作业、预热器清堵作业等未执行上锁挂牌、未正确穿戴PPE）；使用未经安全验收合格的脚手架；在损失工作人事故（LTI）或者死亡事故（FI）事故中被认定为负有管理责任的管理人员；随意破坏安全附件，打开已封闭的孔洞、随意破坏上锁箱等；未经公司驾驶授权驾驶行政车辆，使用叉车、装载机等工程车辆载人；因周边关系处理不当，造成停工影响施工进度等等（乙方处理不及时）</w:t>
      </w:r>
    </w:p>
    <w:p w14:paraId="2EDF974F">
      <w:pPr>
        <w:pStyle w:val="95"/>
        <w:pBdr>
          <w:top w:val="none" w:color="auto" w:sz="0" w:space="0"/>
        </w:pBdr>
        <w:tabs>
          <w:tab w:val="left" w:pos="8377"/>
        </w:tabs>
        <w:spacing w:before="40" w:after="40"/>
        <w:ind w:left="420" w:leftChars="200"/>
        <w:jc w:val="both"/>
        <w:rPr>
          <w:i w:val="0"/>
          <w:iCs/>
          <w:sz w:val="21"/>
          <w:szCs w:val="21"/>
        </w:rPr>
      </w:pPr>
      <w:r>
        <w:rPr>
          <w:rFonts w:hint="eastAsia"/>
          <w:i w:val="0"/>
          <w:iCs/>
          <w:sz w:val="21"/>
          <w:szCs w:val="21"/>
        </w:rPr>
        <w:t>6.5 乙方履行合同中发生事故的，按下列约定承担违约责任：</w:t>
      </w:r>
    </w:p>
    <w:p w14:paraId="3E07C5D1">
      <w:pPr>
        <w:pStyle w:val="95"/>
        <w:pBdr>
          <w:top w:val="none" w:color="auto" w:sz="0" w:space="0"/>
        </w:pBdr>
        <w:tabs>
          <w:tab w:val="left" w:pos="8377"/>
        </w:tabs>
        <w:spacing w:before="40" w:after="40"/>
        <w:ind w:left="420" w:leftChars="200"/>
        <w:jc w:val="both"/>
        <w:rPr>
          <w:i w:val="0"/>
          <w:iCs/>
          <w:sz w:val="21"/>
          <w:szCs w:val="21"/>
        </w:rPr>
      </w:pPr>
      <w:r>
        <w:rPr>
          <w:rFonts w:hint="eastAsia"/>
          <w:i w:val="0"/>
          <w:iCs/>
          <w:sz w:val="21"/>
          <w:szCs w:val="21"/>
        </w:rPr>
        <w:t>6.5.1 乙方首先全部承担所有经济损失；</w:t>
      </w:r>
    </w:p>
    <w:p w14:paraId="7FA6166F">
      <w:pPr>
        <w:pStyle w:val="95"/>
        <w:pBdr>
          <w:top w:val="none" w:color="auto" w:sz="0" w:space="0"/>
        </w:pBdr>
        <w:tabs>
          <w:tab w:val="left" w:pos="8377"/>
        </w:tabs>
        <w:spacing w:before="40" w:after="40"/>
        <w:ind w:left="420" w:leftChars="200"/>
        <w:jc w:val="both"/>
        <w:rPr>
          <w:i w:val="0"/>
          <w:iCs/>
          <w:sz w:val="21"/>
          <w:szCs w:val="21"/>
        </w:rPr>
      </w:pPr>
      <w:r>
        <w:rPr>
          <w:rFonts w:hint="eastAsia"/>
          <w:i w:val="0"/>
          <w:iCs/>
          <w:sz w:val="21"/>
          <w:szCs w:val="21"/>
        </w:rPr>
        <w:t>6.5.2 发生轻微事故的，向甲方支付违约金1000-5000元；</w:t>
      </w:r>
    </w:p>
    <w:p w14:paraId="6116CECB">
      <w:pPr>
        <w:pStyle w:val="95"/>
        <w:pBdr>
          <w:top w:val="none" w:color="auto" w:sz="0" w:space="0"/>
        </w:pBdr>
        <w:tabs>
          <w:tab w:val="left" w:pos="8377"/>
        </w:tabs>
        <w:spacing w:before="40" w:after="40"/>
        <w:ind w:left="420" w:leftChars="200"/>
        <w:jc w:val="both"/>
        <w:rPr>
          <w:i w:val="0"/>
          <w:iCs/>
          <w:sz w:val="21"/>
          <w:szCs w:val="21"/>
        </w:rPr>
      </w:pPr>
      <w:r>
        <w:rPr>
          <w:rFonts w:hint="eastAsia"/>
          <w:i w:val="0"/>
          <w:iCs/>
          <w:sz w:val="21"/>
          <w:szCs w:val="21"/>
        </w:rPr>
        <w:t>6.5.3 发生损失工作日（LTI）事故的，向甲方支付违约金5000-20000元；</w:t>
      </w:r>
    </w:p>
    <w:p w14:paraId="49759AEF">
      <w:pPr>
        <w:pStyle w:val="95"/>
        <w:pBdr>
          <w:top w:val="none" w:color="auto" w:sz="0" w:space="0"/>
        </w:pBdr>
        <w:tabs>
          <w:tab w:val="left" w:pos="8377"/>
        </w:tabs>
        <w:spacing w:before="40" w:after="40"/>
        <w:ind w:left="420" w:leftChars="200"/>
        <w:jc w:val="both"/>
        <w:rPr>
          <w:i w:val="0"/>
          <w:iCs/>
          <w:sz w:val="21"/>
          <w:szCs w:val="21"/>
        </w:rPr>
      </w:pPr>
      <w:r>
        <w:rPr>
          <w:rFonts w:hint="eastAsia"/>
          <w:i w:val="0"/>
          <w:iCs/>
          <w:sz w:val="21"/>
          <w:szCs w:val="21"/>
        </w:rPr>
        <w:t>6.5.4 发生死亡事故的，向甲方支付违约金30000元以上。</w:t>
      </w:r>
    </w:p>
    <w:p w14:paraId="7EAEF718">
      <w:pPr>
        <w:pStyle w:val="95"/>
        <w:pBdr>
          <w:top w:val="none" w:color="auto" w:sz="0" w:space="0"/>
        </w:pBdr>
        <w:spacing w:before="40" w:after="40"/>
        <w:ind w:firstLine="420" w:firstLineChars="200"/>
        <w:jc w:val="both"/>
        <w:rPr>
          <w:i w:val="0"/>
          <w:iCs/>
          <w:sz w:val="21"/>
          <w:szCs w:val="21"/>
        </w:rPr>
      </w:pPr>
      <w:r>
        <w:rPr>
          <w:rFonts w:hint="eastAsia"/>
          <w:i w:val="0"/>
          <w:iCs/>
          <w:sz w:val="21"/>
          <w:szCs w:val="21"/>
        </w:rPr>
        <w:t>6.5.5 因乙方未尽到本协议约定的义务而发生安全事故导致乙方员工及分包商向甲方索赔，导致甲方损失，该损失应由乙方承担。</w:t>
      </w:r>
    </w:p>
    <w:p w14:paraId="713ECFE1">
      <w:pPr>
        <w:ind w:left="420" w:leftChars="200"/>
        <w:jc w:val="left"/>
        <w:rPr>
          <w:rFonts w:ascii="宋体" w:hAnsi="宋体"/>
          <w:b/>
          <w:bCs/>
          <w:szCs w:val="21"/>
        </w:rPr>
      </w:pPr>
      <w:r>
        <w:rPr>
          <w:rFonts w:hint="eastAsia" w:ascii="宋体" w:hAnsi="宋体"/>
          <w:szCs w:val="21"/>
        </w:rPr>
        <w:t>6.6停工整顿</w:t>
      </w:r>
    </w:p>
    <w:p w14:paraId="7A23D329">
      <w:pPr>
        <w:pStyle w:val="95"/>
        <w:pBdr>
          <w:top w:val="none" w:color="auto" w:sz="0" w:space="0"/>
        </w:pBdr>
        <w:spacing w:before="40" w:after="40"/>
        <w:ind w:firstLine="420" w:firstLineChars="200"/>
        <w:jc w:val="both"/>
        <w:rPr>
          <w:i w:val="0"/>
          <w:iCs/>
          <w:sz w:val="21"/>
          <w:szCs w:val="21"/>
        </w:rPr>
      </w:pPr>
      <w:r>
        <w:rPr>
          <w:rFonts w:hint="eastAsia"/>
          <w:i w:val="0"/>
          <w:iCs/>
          <w:sz w:val="21"/>
          <w:szCs w:val="21"/>
        </w:rPr>
        <w:t>6.6.1  如乙方出现严重违章的行为，没有按时完成甲方规定的安全整改，有出现重大伤害的潜在因素等，甲方安全部门可强令其进行停工整顿。</w:t>
      </w:r>
    </w:p>
    <w:p w14:paraId="28269FF8">
      <w:pPr>
        <w:ind w:firstLine="420" w:firstLineChars="200"/>
        <w:jc w:val="left"/>
        <w:rPr>
          <w:rFonts w:ascii="宋体" w:hAnsi="宋体"/>
          <w:szCs w:val="21"/>
        </w:rPr>
      </w:pPr>
      <w:r>
        <w:rPr>
          <w:rFonts w:hint="eastAsia" w:ascii="宋体" w:hAnsi="宋体"/>
          <w:szCs w:val="21"/>
        </w:rPr>
        <w:t>6.6.2  停工整顿由安全部门签署停工整顿通知单乙方无条件执行。</w:t>
      </w:r>
    </w:p>
    <w:p w14:paraId="0C488E39">
      <w:pPr>
        <w:ind w:left="420" w:leftChars="200"/>
        <w:jc w:val="left"/>
        <w:rPr>
          <w:rFonts w:ascii="宋体" w:hAnsi="宋体"/>
          <w:szCs w:val="21"/>
        </w:rPr>
      </w:pPr>
      <w:r>
        <w:rPr>
          <w:rFonts w:hint="eastAsia" w:ascii="宋体" w:hAnsi="宋体"/>
          <w:szCs w:val="21"/>
        </w:rPr>
        <w:t>6.7  终止合同：</w:t>
      </w:r>
    </w:p>
    <w:p w14:paraId="6D47E83D">
      <w:pPr>
        <w:ind w:firstLine="420" w:firstLineChars="200"/>
        <w:jc w:val="left"/>
        <w:rPr>
          <w:rFonts w:ascii="宋体" w:hAnsi="宋体"/>
          <w:szCs w:val="21"/>
        </w:rPr>
      </w:pPr>
      <w:r>
        <w:rPr>
          <w:rFonts w:hint="eastAsia" w:ascii="宋体" w:hAnsi="宋体"/>
          <w:szCs w:val="21"/>
        </w:rPr>
        <w:t>对于多次出现违章，或造成严重后果的，或可能发生重大伤亡潜在因素的，甲方有权提前终止主合同。</w:t>
      </w:r>
    </w:p>
    <w:p w14:paraId="03122D4E">
      <w:pPr>
        <w:jc w:val="left"/>
        <w:rPr>
          <w:rFonts w:ascii="宋体" w:hAnsi="宋体"/>
          <w:szCs w:val="21"/>
        </w:rPr>
      </w:pPr>
      <w:r>
        <w:rPr>
          <w:rFonts w:hint="eastAsia" w:ascii="宋体" w:hAnsi="宋体"/>
          <w:szCs w:val="21"/>
        </w:rPr>
        <w:t>七．本协议作为主合同附件一同签订，并报送甲方安全部一份，签字盖章后生效。</w:t>
      </w:r>
    </w:p>
    <w:p w14:paraId="00DB20E0">
      <w:pPr>
        <w:ind w:firstLine="207" w:firstLineChars="98"/>
        <w:rPr>
          <w:rFonts w:ascii="宋体" w:hAnsi="宋体"/>
          <w:b/>
          <w:bCs/>
          <w:szCs w:val="21"/>
        </w:rPr>
      </w:pPr>
    </w:p>
    <w:p w14:paraId="588E8AE4">
      <w:pPr>
        <w:spacing w:line="276" w:lineRule="auto"/>
        <w:rPr>
          <w:rFonts w:ascii="宋体" w:hAnsi="宋体"/>
          <w:b/>
          <w:bCs/>
          <w:szCs w:val="21"/>
        </w:rPr>
      </w:pPr>
      <w:r>
        <w:rPr>
          <w:rFonts w:hint="eastAsia" w:ascii="宋体" w:hAnsi="宋体"/>
          <w:b/>
          <w:bCs/>
          <w:szCs w:val="21"/>
        </w:rPr>
        <w:t>甲方：</w:t>
      </w:r>
      <w:r>
        <w:rPr>
          <w:rFonts w:hint="eastAsia" w:ascii="宋体" w:hAnsi="宋体"/>
          <w:b/>
          <w:szCs w:val="21"/>
          <w:u w:val="single"/>
        </w:rPr>
        <w:t xml:space="preserve">                             </w:t>
      </w:r>
      <w:r>
        <w:rPr>
          <w:rFonts w:hint="eastAsia" w:ascii="宋体" w:hAnsi="宋体"/>
          <w:b/>
          <w:bCs/>
          <w:szCs w:val="21"/>
        </w:rPr>
        <w:t xml:space="preserve">       乙方：</w:t>
      </w:r>
      <w:r>
        <w:rPr>
          <w:rFonts w:hint="eastAsia" w:ascii="宋体" w:hAnsi="宋体"/>
          <w:b/>
          <w:bCs/>
          <w:szCs w:val="21"/>
          <w:u w:val="single"/>
        </w:rPr>
        <w:t xml:space="preserve">                           </w:t>
      </w:r>
    </w:p>
    <w:p w14:paraId="7C175F55">
      <w:pPr>
        <w:spacing w:line="276" w:lineRule="auto"/>
        <w:rPr>
          <w:rFonts w:ascii="宋体" w:hAnsi="宋体"/>
          <w:b/>
          <w:bCs/>
          <w:szCs w:val="21"/>
        </w:rPr>
      </w:pPr>
    </w:p>
    <w:p w14:paraId="7E6F8AA2">
      <w:pPr>
        <w:spacing w:line="276" w:lineRule="auto"/>
        <w:rPr>
          <w:rFonts w:ascii="宋体" w:hAnsi="宋体"/>
          <w:b/>
          <w:bCs/>
          <w:szCs w:val="21"/>
        </w:rPr>
      </w:pPr>
      <w:r>
        <w:rPr>
          <w:rFonts w:hint="eastAsia" w:ascii="宋体" w:hAnsi="宋体"/>
          <w:b/>
          <w:bCs/>
          <w:szCs w:val="21"/>
        </w:rPr>
        <w:t xml:space="preserve">代表签字：                                 代表签字：  </w:t>
      </w:r>
    </w:p>
    <w:p w14:paraId="0454FA22">
      <w:pPr>
        <w:spacing w:line="276" w:lineRule="auto"/>
        <w:rPr>
          <w:rFonts w:ascii="宋体" w:hAnsi="宋体"/>
          <w:b/>
          <w:bCs/>
          <w:szCs w:val="21"/>
        </w:rPr>
      </w:pPr>
    </w:p>
    <w:p w14:paraId="2625C2A2">
      <w:pPr>
        <w:spacing w:line="276" w:lineRule="auto"/>
        <w:rPr>
          <w:rFonts w:ascii="宋体" w:hAnsi="宋体"/>
          <w:b/>
          <w:bCs/>
          <w:szCs w:val="21"/>
        </w:rPr>
      </w:pPr>
      <w:r>
        <w:rPr>
          <w:rFonts w:hint="eastAsia" w:ascii="宋体" w:hAnsi="宋体"/>
          <w:b/>
          <w:bCs/>
          <w:szCs w:val="21"/>
        </w:rPr>
        <w:t>日期：                                     日期：</w:t>
      </w:r>
    </w:p>
    <w:p w14:paraId="53EFFD4A">
      <w:pPr>
        <w:spacing w:line="276" w:lineRule="auto"/>
        <w:rPr>
          <w:rFonts w:ascii="宋体" w:hAnsi="宋体"/>
          <w:b/>
          <w:bCs/>
          <w:szCs w:val="21"/>
        </w:rPr>
      </w:pPr>
    </w:p>
    <w:p w14:paraId="49C4617A">
      <w:pPr>
        <w:spacing w:line="276" w:lineRule="auto"/>
        <w:rPr>
          <w:rFonts w:ascii="宋体" w:hAnsi="宋体"/>
          <w:b/>
          <w:bCs/>
          <w:szCs w:val="21"/>
        </w:rPr>
      </w:pPr>
    </w:p>
    <w:p w14:paraId="41903F35">
      <w:pPr>
        <w:spacing w:line="276" w:lineRule="auto"/>
        <w:rPr>
          <w:rFonts w:ascii="宋体" w:hAnsi="宋体"/>
          <w:b/>
          <w:bCs/>
          <w:szCs w:val="21"/>
        </w:rPr>
      </w:pPr>
    </w:p>
    <w:p w14:paraId="61EBF6A5">
      <w:pPr>
        <w:spacing w:line="276" w:lineRule="auto"/>
        <w:rPr>
          <w:rFonts w:ascii="宋体" w:hAnsi="宋体"/>
          <w:b/>
          <w:bCs/>
          <w:szCs w:val="21"/>
        </w:rPr>
      </w:pPr>
    </w:p>
    <w:p w14:paraId="539BC187">
      <w:pPr>
        <w:spacing w:line="276" w:lineRule="auto"/>
        <w:rPr>
          <w:rFonts w:ascii="宋体" w:hAnsi="宋体"/>
          <w:b/>
          <w:bCs/>
          <w:szCs w:val="21"/>
        </w:rPr>
      </w:pPr>
    </w:p>
    <w:p w14:paraId="0D5BEB28">
      <w:pPr>
        <w:spacing w:line="276" w:lineRule="auto"/>
        <w:rPr>
          <w:rFonts w:ascii="宋体" w:hAnsi="宋体"/>
          <w:b/>
          <w:bCs/>
          <w:szCs w:val="21"/>
        </w:rPr>
      </w:pPr>
    </w:p>
    <w:p w14:paraId="6461A48F">
      <w:pPr>
        <w:spacing w:line="276" w:lineRule="auto"/>
        <w:rPr>
          <w:rFonts w:ascii="宋体" w:hAnsi="宋体"/>
          <w:b/>
          <w:bCs/>
          <w:szCs w:val="21"/>
        </w:rPr>
      </w:pPr>
    </w:p>
    <w:p w14:paraId="56EE6D77">
      <w:pPr>
        <w:spacing w:line="276" w:lineRule="auto"/>
        <w:rPr>
          <w:rFonts w:ascii="宋体" w:hAnsi="宋体"/>
          <w:b/>
          <w:bCs/>
          <w:szCs w:val="21"/>
        </w:rPr>
      </w:pPr>
    </w:p>
    <w:p w14:paraId="403A268E">
      <w:pPr>
        <w:spacing w:line="276" w:lineRule="auto"/>
        <w:rPr>
          <w:rFonts w:ascii="宋体" w:hAnsi="宋体"/>
          <w:b/>
          <w:bCs/>
          <w:szCs w:val="21"/>
        </w:rPr>
      </w:pPr>
    </w:p>
    <w:p w14:paraId="2A0E1B94">
      <w:pPr>
        <w:spacing w:line="276" w:lineRule="auto"/>
        <w:rPr>
          <w:rFonts w:ascii="宋体" w:hAnsi="宋体"/>
          <w:b/>
          <w:bCs/>
          <w:szCs w:val="21"/>
        </w:rPr>
      </w:pPr>
    </w:p>
    <w:p w14:paraId="6B85D085">
      <w:pPr>
        <w:spacing w:line="276" w:lineRule="auto"/>
        <w:rPr>
          <w:rFonts w:ascii="宋体" w:hAnsi="宋体"/>
          <w:b/>
          <w:bCs/>
          <w:szCs w:val="21"/>
        </w:rPr>
      </w:pPr>
    </w:p>
    <w:p w14:paraId="08BF10D2">
      <w:pPr>
        <w:spacing w:line="276" w:lineRule="auto"/>
        <w:rPr>
          <w:rFonts w:ascii="宋体" w:hAnsi="宋体"/>
          <w:b/>
          <w:bCs/>
          <w:szCs w:val="21"/>
        </w:rPr>
      </w:pPr>
    </w:p>
    <w:p w14:paraId="4B373CB2">
      <w:pPr>
        <w:spacing w:line="276" w:lineRule="auto"/>
        <w:rPr>
          <w:rFonts w:ascii="宋体" w:hAnsi="宋体"/>
          <w:b/>
          <w:bCs/>
          <w:szCs w:val="21"/>
        </w:rPr>
      </w:pPr>
    </w:p>
    <w:p w14:paraId="3B65A618">
      <w:pPr>
        <w:spacing w:line="276" w:lineRule="auto"/>
        <w:rPr>
          <w:rFonts w:ascii="宋体" w:hAnsi="宋体"/>
          <w:b/>
          <w:bCs/>
          <w:szCs w:val="21"/>
        </w:rPr>
      </w:pPr>
    </w:p>
    <w:p w14:paraId="6E5D8839">
      <w:pPr>
        <w:pStyle w:val="3"/>
        <w:rPr>
          <w:rFonts w:asciiTheme="majorHAnsi" w:hAnsiTheme="majorHAnsi"/>
        </w:rPr>
      </w:pPr>
      <w:bookmarkStart w:id="533" w:name="_Toc152766747"/>
      <w:r>
        <w:rPr>
          <w:rFonts w:hint="eastAsia" w:asciiTheme="majorHAnsi" w:hAnsiTheme="majorHAnsi"/>
          <w:sz w:val="30"/>
        </w:rPr>
        <w:t>附件5</w:t>
      </w:r>
      <w:r>
        <w:rPr>
          <w:rFonts w:hint="eastAsia"/>
        </w:rPr>
        <w:t xml:space="preserve"> 供应商商业道德行为准则</w:t>
      </w:r>
      <w:bookmarkEnd w:id="533"/>
    </w:p>
    <w:p w14:paraId="2CE2A413">
      <w:pPr>
        <w:ind w:firstLine="420" w:firstLineChars="200"/>
      </w:pPr>
      <w:r>
        <w:rPr>
          <w:rFonts w:hint="eastAsia"/>
        </w:rPr>
        <w:t>华新水泥股份有限公司寻求与那些致力于可持续发展的供应商建立长期关系。当供应商不能满足要求时，华新水泥将要求供应商定期纠正并监督进展。多次违反本准则并拒绝执行改进计划的供应商，华新水泥将可能终止与其合作关系。</w:t>
      </w:r>
    </w:p>
    <w:p w14:paraId="407C64AD">
      <w:r>
        <w:rPr>
          <w:rFonts w:hint="eastAsia"/>
        </w:rPr>
        <w:t>供应商必须遵守当地和国家的法律法规。此外，供应商应遵循以下标准。</w:t>
      </w:r>
    </w:p>
    <w:p w14:paraId="2F4C2BF0">
      <w:r>
        <w:t>1</w:t>
      </w:r>
      <w:r>
        <w:rPr>
          <w:rFonts w:hint="eastAsia"/>
        </w:rPr>
        <w:t>、供应商应为其员工及承包商提供一个安全健康的工作场所，必须有健康与安全方面的政策和</w:t>
      </w:r>
      <w:r>
        <w:t>/</w:t>
      </w:r>
      <w:r>
        <w:rPr>
          <w:rFonts w:hint="eastAsia"/>
        </w:rPr>
        <w:t>或程序的书面说明．并有合适的安全设施及设备。若在华新水泥的场所，供应商须完全遵守华新水泥的政策与方针。</w:t>
      </w:r>
    </w:p>
    <w:p w14:paraId="00C1B15A">
      <w:r>
        <w:t>2</w:t>
      </w:r>
      <w:r>
        <w:rPr>
          <w:rFonts w:hint="eastAsia"/>
        </w:rPr>
        <w:t>、供应商应确保其所有必要的安全措施安排到位，以保护在他们的场所工作的员工与承包商以及他们的财产。</w:t>
      </w:r>
    </w:p>
    <w:p w14:paraId="29031600">
      <w:r>
        <w:t>3</w:t>
      </w:r>
      <w:r>
        <w:rPr>
          <w:rFonts w:hint="eastAsia"/>
        </w:rPr>
        <w:t>、供应商应提供公平和体面的工作条件。员工工资不得低于国家法律规定的地方产业工资或最低工资标准。</w:t>
      </w:r>
    </w:p>
    <w:p w14:paraId="50C993B8">
      <w:r>
        <w:t>4</w:t>
      </w:r>
      <w:r>
        <w:rPr>
          <w:rFonts w:hint="eastAsia"/>
        </w:rPr>
        <w:t>、供应商不得干涉工人的结社自由，若员工代表行使员工权利、提交申诉、参加工会活动或举报涉嫌违法行为，雇主不得采取歧视或终止合同的行为来进行报复。</w:t>
      </w:r>
    </w:p>
    <w:p w14:paraId="4C97D935">
      <w:r>
        <w:t>5</w:t>
      </w:r>
      <w:r>
        <w:rPr>
          <w:rFonts w:hint="eastAsia"/>
        </w:rPr>
        <w:t>、供应商不得以惩罚来威胁员工进行非自愿的工作，供应商不得扣留工人的身份证件。</w:t>
      </w:r>
    </w:p>
    <w:p w14:paraId="44B0D584">
      <w:r>
        <w:t>6</w:t>
      </w:r>
      <w:r>
        <w:rPr>
          <w:rFonts w:hint="eastAsia"/>
        </w:rPr>
        <w:t>、供应商不得雇用未满</w:t>
      </w:r>
      <w:r>
        <w:t>16</w:t>
      </w:r>
      <w:r>
        <w:rPr>
          <w:rFonts w:hint="eastAsia"/>
        </w:rPr>
        <w:t>周岁的童工。</w:t>
      </w:r>
    </w:p>
    <w:p w14:paraId="4DA57E3F">
      <w:r>
        <w:t>7</w:t>
      </w:r>
      <w:r>
        <w:rPr>
          <w:rFonts w:hint="eastAsia"/>
        </w:rPr>
        <w:t>、与雇佣相关的决定应基于相应的客观标准。供应商不应对员工区别对待，与雇佣相关的决定包括，但不限于：招聘，晋升，下岗和再分配的工人，培训和技能的发展，健康和安全，与工作条件相关的政策，如工作时间和报酬。</w:t>
      </w:r>
    </w:p>
    <w:p w14:paraId="51A16470">
      <w:r>
        <w:t>8</w:t>
      </w:r>
      <w:r>
        <w:rPr>
          <w:rFonts w:hint="eastAsia"/>
        </w:rPr>
        <w:t>、供应商应尊重和遵守所有级别（地方、国家和国际）的环境法规要求。</w:t>
      </w:r>
    </w:p>
    <w:p w14:paraId="30C758CC">
      <w:r>
        <w:t>9</w:t>
      </w:r>
      <w:r>
        <w:rPr>
          <w:rFonts w:hint="eastAsia"/>
        </w:rPr>
        <w:t>、供应商应心怀敬意的对环境的影响进行系统地管理，但不限于：能源，水，废物，化学品，空气污染和生物多样性，并设定目标以减少这种影响。</w:t>
      </w:r>
    </w:p>
    <w:p w14:paraId="016CC397">
      <w:r>
        <w:t>10</w:t>
      </w:r>
      <w:r>
        <w:rPr>
          <w:rFonts w:hint="eastAsia"/>
        </w:rPr>
        <w:t>、供应商应遵守所有适用于反腐败的法律法规，即对任何形式的贿赂、贪污、敲诈和侵吞公款采取零容忍的政策。华新水泥期望供应商的所有业务交易都是透明的，供应商不得雇用第三方来帮助他们从事不允许做的事，如行賄。</w:t>
      </w:r>
    </w:p>
    <w:p w14:paraId="003204AA">
      <w:r>
        <w:t>11</w:t>
      </w:r>
      <w:r>
        <w:rPr>
          <w:rFonts w:hint="eastAsia"/>
        </w:rPr>
        <w:t>、供应商应遵守与华新水泥签订的合同中所体现的所有适用的竞争法，为此．对任何形式违反该规则的行为采取零容忍政策。供应商也应采取所有必要的预防措施以避免将任何与华新水泥供应关系的商业敏感信息泄露给第三方，反之亦然。</w:t>
      </w:r>
    </w:p>
    <w:p w14:paraId="153D5249"/>
    <w:p w14:paraId="10DA29E8"/>
    <w:p w14:paraId="51AE3BE2"/>
    <w:p w14:paraId="156752DB"/>
    <w:p w14:paraId="2A27E645"/>
    <w:p w14:paraId="5CE8DC37"/>
    <w:p w14:paraId="2EBF1837"/>
    <w:p w14:paraId="60BE1A9F"/>
    <w:p w14:paraId="03A4140F"/>
    <w:p w14:paraId="04133E30"/>
    <w:p w14:paraId="4F3624F7">
      <w:pPr>
        <w:pStyle w:val="3"/>
      </w:pPr>
      <w:bookmarkStart w:id="534" w:name="_Toc152766748"/>
      <w:r>
        <w:rPr>
          <w:rFonts w:hint="eastAsia"/>
        </w:rPr>
        <w:t>附件6 廉政协议书</w:t>
      </w:r>
      <w:bookmarkEnd w:id="534"/>
    </w:p>
    <w:p w14:paraId="7961318C">
      <w:pPr>
        <w:spacing w:line="520" w:lineRule="exact"/>
        <w:ind w:firstLine="560" w:firstLineChars="200"/>
        <w:rPr>
          <w:rFonts w:asciiTheme="minorEastAsia" w:hAnsiTheme="minorEastAsia"/>
          <w:sz w:val="28"/>
          <w:szCs w:val="28"/>
        </w:rPr>
      </w:pPr>
      <w:r>
        <w:rPr>
          <w:rFonts w:hint="eastAsia" w:asciiTheme="minorEastAsia" w:hAnsiTheme="minorEastAsia"/>
          <w:sz w:val="28"/>
          <w:szCs w:val="28"/>
        </w:rPr>
        <w:t>甲方：</w:t>
      </w:r>
      <w:r>
        <w:rPr>
          <w:rFonts w:hint="eastAsia" w:ascii="宋体" w:hAnsi="宋体"/>
          <w:b/>
          <w:szCs w:val="21"/>
          <w:u w:val="single"/>
        </w:rPr>
        <w:t xml:space="preserve">                          </w:t>
      </w:r>
    </w:p>
    <w:p w14:paraId="24DFE5C4">
      <w:pPr>
        <w:spacing w:line="520" w:lineRule="exact"/>
        <w:ind w:firstLine="560" w:firstLineChars="200"/>
        <w:rPr>
          <w:rFonts w:asciiTheme="minorEastAsia" w:hAnsiTheme="minorEastAsia"/>
          <w:sz w:val="28"/>
          <w:szCs w:val="28"/>
          <w:u w:val="single"/>
        </w:rPr>
      </w:pPr>
      <w:r>
        <w:rPr>
          <w:rFonts w:hint="eastAsia" w:asciiTheme="minorEastAsia" w:hAnsiTheme="minorEastAsia"/>
          <w:sz w:val="28"/>
          <w:szCs w:val="28"/>
        </w:rPr>
        <w:t>乙方（供应商）：</w:t>
      </w:r>
      <w:r>
        <w:rPr>
          <w:rFonts w:hint="eastAsia" w:ascii="宋体" w:hAnsi="宋体"/>
          <w:b/>
          <w:bCs/>
          <w:szCs w:val="21"/>
          <w:u w:val="single"/>
        </w:rPr>
        <w:t xml:space="preserve">                        </w:t>
      </w:r>
    </w:p>
    <w:p w14:paraId="7A5DB02B">
      <w:pPr>
        <w:spacing w:line="520" w:lineRule="exact"/>
        <w:ind w:firstLine="560" w:firstLineChars="200"/>
        <w:rPr>
          <w:rFonts w:asciiTheme="minorEastAsia" w:hAnsiTheme="minorEastAsia"/>
          <w:sz w:val="28"/>
          <w:szCs w:val="28"/>
        </w:rPr>
      </w:pPr>
      <w:r>
        <w:rPr>
          <w:rFonts w:hint="eastAsia" w:asciiTheme="minorEastAsia" w:hAnsiTheme="minorEastAsia"/>
          <w:sz w:val="28"/>
          <w:szCs w:val="28"/>
        </w:rPr>
        <w:t>为杜绝违反廉洁制度的行为发生，共同维护双方清亲健康的合作关系，经双方协商一直达成如下协议:</w:t>
      </w:r>
    </w:p>
    <w:p w14:paraId="6CD264E5">
      <w:pPr>
        <w:spacing w:line="520" w:lineRule="exact"/>
        <w:ind w:firstLine="562" w:firstLineChars="200"/>
        <w:rPr>
          <w:rFonts w:asciiTheme="minorEastAsia" w:hAnsiTheme="minorEastAsia"/>
          <w:bCs/>
          <w:sz w:val="28"/>
          <w:szCs w:val="28"/>
        </w:rPr>
      </w:pPr>
      <w:r>
        <w:rPr>
          <w:rFonts w:hint="eastAsia" w:asciiTheme="minorEastAsia" w:hAnsiTheme="minorEastAsia"/>
          <w:b/>
          <w:bCs/>
          <w:sz w:val="28"/>
          <w:szCs w:val="28"/>
        </w:rPr>
        <w:t>第一条</w:t>
      </w:r>
      <w:r>
        <w:rPr>
          <w:rFonts w:asciiTheme="minorEastAsia" w:hAnsiTheme="minorEastAsia"/>
          <w:b/>
          <w:bCs/>
          <w:sz w:val="28"/>
          <w:szCs w:val="28"/>
        </w:rPr>
        <w:t xml:space="preserve"> </w:t>
      </w:r>
      <w:r>
        <w:rPr>
          <w:rFonts w:hint="eastAsia" w:asciiTheme="minorEastAsia" w:hAnsiTheme="minorEastAsia"/>
          <w:bCs/>
          <w:sz w:val="28"/>
          <w:szCs w:val="28"/>
        </w:rPr>
        <w:t>甲方、乙方在合同履行中，应守法守约相互协作、相互配合、相互监督，建立廉洁健康的合作关系，履行应尽义务。</w:t>
      </w:r>
    </w:p>
    <w:p w14:paraId="3AD80390">
      <w:pPr>
        <w:spacing w:line="520" w:lineRule="exact"/>
        <w:ind w:firstLine="562" w:firstLineChars="200"/>
        <w:rPr>
          <w:rFonts w:asciiTheme="minorEastAsia" w:hAnsiTheme="minorEastAsia"/>
          <w:bCs/>
          <w:sz w:val="28"/>
          <w:szCs w:val="28"/>
        </w:rPr>
      </w:pPr>
      <w:r>
        <w:rPr>
          <w:rFonts w:hint="eastAsia" w:asciiTheme="minorEastAsia" w:hAnsiTheme="minorEastAsia"/>
          <w:b/>
          <w:bCs/>
          <w:sz w:val="28"/>
          <w:szCs w:val="28"/>
        </w:rPr>
        <w:t>第二条</w:t>
      </w:r>
      <w:r>
        <w:rPr>
          <w:rFonts w:hint="eastAsia" w:asciiTheme="minorEastAsia" w:hAnsiTheme="minorEastAsia"/>
          <w:bCs/>
          <w:sz w:val="28"/>
          <w:szCs w:val="28"/>
        </w:rPr>
        <w:t xml:space="preserve"> 本协议中违反廉洁制度的行为是指乙方(含乙方关联方或合作方)为谋求交易机会或竞争优势及其他利益,直接或间接给予甲方员工、甲方合作方及甲方员工利害关系人的一切物质及精神上的直接或间接的不正当利益。</w:t>
      </w:r>
    </w:p>
    <w:p w14:paraId="2E9498C1">
      <w:pPr>
        <w:spacing w:line="520" w:lineRule="exact"/>
        <w:ind w:firstLine="562" w:firstLineChars="200"/>
        <w:rPr>
          <w:rFonts w:asciiTheme="minorEastAsia" w:hAnsiTheme="minorEastAsia"/>
          <w:bCs/>
          <w:sz w:val="28"/>
          <w:szCs w:val="28"/>
        </w:rPr>
      </w:pPr>
      <w:r>
        <w:rPr>
          <w:rFonts w:asciiTheme="minorEastAsia" w:hAnsiTheme="minorEastAsia"/>
          <w:b/>
          <w:bCs/>
          <w:sz w:val="28"/>
          <w:szCs w:val="28"/>
        </w:rPr>
        <w:t>第三条</w:t>
      </w:r>
      <w:r>
        <w:rPr>
          <w:rFonts w:hint="eastAsia" w:asciiTheme="minorEastAsia" w:hAnsiTheme="minorEastAsia"/>
          <w:bCs/>
          <w:sz w:val="28"/>
          <w:szCs w:val="28"/>
        </w:rPr>
        <w:t xml:space="preserve"> 不正当利益包括：物质性利益和非物质性利益。</w:t>
      </w:r>
    </w:p>
    <w:p w14:paraId="6DD95D4B">
      <w:pPr>
        <w:spacing w:line="520" w:lineRule="exact"/>
        <w:ind w:firstLine="560" w:firstLineChars="200"/>
        <w:rPr>
          <w:rFonts w:asciiTheme="minorEastAsia" w:hAnsiTheme="minorEastAsia"/>
          <w:bCs/>
          <w:sz w:val="28"/>
          <w:szCs w:val="28"/>
        </w:rPr>
      </w:pPr>
      <w:r>
        <w:rPr>
          <w:rFonts w:hint="eastAsia" w:asciiTheme="minorEastAsia" w:hAnsiTheme="minorEastAsia"/>
          <w:bCs/>
          <w:sz w:val="28"/>
          <w:szCs w:val="28"/>
        </w:rPr>
        <w:t>物质性利益指能够直接用金钱价值衡量的利益。包括但不限于以实物、现金或现金等价物的形式提供回扣、贿赂、中介费、借款等，如：消费卡/</w:t>
      </w:r>
      <w:r>
        <w:rPr>
          <w:rFonts w:hint="eastAsia" w:asciiTheme="minorEastAsia" w:hAnsiTheme="minorEastAsia"/>
          <w:bCs/>
          <w:color w:val="000000" w:themeColor="text1"/>
          <w:sz w:val="28"/>
          <w:szCs w:val="28"/>
          <w14:textFill>
            <w14:solidFill>
              <w14:schemeClr w14:val="tx1"/>
            </w14:solidFill>
          </w14:textFill>
        </w:rPr>
        <w:t>券</w:t>
      </w:r>
      <w:r>
        <w:rPr>
          <w:rFonts w:hint="eastAsia" w:asciiTheme="minorEastAsia" w:hAnsiTheme="minorEastAsia"/>
          <w:bCs/>
          <w:sz w:val="28"/>
          <w:szCs w:val="28"/>
        </w:rPr>
        <w:t>、提货券、购物卡、充值卡等各种可供使用或消费的卡（券）、储值卡、其它形态的有价礼券、公开发行的证券类产品或干股、股权，以及支票及财产性权益、旅游、宴请、免费消费等。</w:t>
      </w:r>
    </w:p>
    <w:p w14:paraId="1ECDDB74">
      <w:pPr>
        <w:spacing w:line="520" w:lineRule="exact"/>
        <w:ind w:firstLine="560" w:firstLineChars="200"/>
        <w:rPr>
          <w:rFonts w:asciiTheme="minorEastAsia" w:hAnsiTheme="minorEastAsia"/>
          <w:bCs/>
          <w:sz w:val="28"/>
          <w:szCs w:val="28"/>
        </w:rPr>
      </w:pPr>
      <w:r>
        <w:rPr>
          <w:rFonts w:hint="eastAsia" w:asciiTheme="minorEastAsia" w:hAnsiTheme="minorEastAsia"/>
          <w:bCs/>
          <w:sz w:val="28"/>
          <w:szCs w:val="28"/>
        </w:rPr>
        <w:t>非物质性利益是指难以直接用经济或金钱价值衡量的能满足人们需求和欲望的精神利益和其他不正当利益，是物质性利益以外的权益、优惠、便利及其它好处。包括但不限于给予解决住房机会、迁移户口、调动工作、提拔职务、提供学位或安排出国留学、享受免费的服务等方面的利益，以及给予荣誉、名誉、称号、资格、地位、特权等。</w:t>
      </w:r>
    </w:p>
    <w:p w14:paraId="2A8F03FF">
      <w:pPr>
        <w:spacing w:line="520" w:lineRule="exact"/>
        <w:ind w:firstLine="562" w:firstLineChars="200"/>
        <w:rPr>
          <w:rFonts w:asciiTheme="minorEastAsia" w:hAnsiTheme="minorEastAsia"/>
          <w:bCs/>
          <w:color w:val="000000" w:themeColor="text1"/>
          <w:sz w:val="28"/>
          <w:szCs w:val="28"/>
          <w:shd w:val="clear" w:color="auto" w:fill="FFFFFF" w:themeFill="background1"/>
          <w14:textFill>
            <w14:solidFill>
              <w14:schemeClr w14:val="tx1"/>
            </w14:solidFill>
          </w14:textFill>
        </w:rPr>
      </w:pPr>
      <w:r>
        <w:rPr>
          <w:rFonts w:hint="eastAsia" w:asciiTheme="minorEastAsia" w:hAnsiTheme="minorEastAsia"/>
          <w:b/>
          <w:bCs/>
          <w:color w:val="000000" w:themeColor="text1"/>
          <w:sz w:val="28"/>
          <w:szCs w:val="28"/>
          <w:shd w:val="clear" w:color="auto" w:fill="FFFFFF" w:themeFill="background1"/>
          <w14:textFill>
            <w14:solidFill>
              <w14:schemeClr w14:val="tx1"/>
            </w14:solidFill>
          </w14:textFill>
        </w:rPr>
        <w:t>第四条</w:t>
      </w:r>
      <w:r>
        <w:rPr>
          <w:rFonts w:asciiTheme="minorEastAsia" w:hAnsiTheme="minorEastAsia"/>
          <w:b/>
          <w:bCs/>
          <w:color w:val="000000" w:themeColor="text1"/>
          <w:sz w:val="28"/>
          <w:szCs w:val="28"/>
          <w:shd w:val="clear" w:color="auto" w:fill="FFFFFF" w:themeFill="background1"/>
          <w14:textFill>
            <w14:solidFill>
              <w14:schemeClr w14:val="tx1"/>
            </w14:solidFill>
          </w14:textFill>
        </w:rPr>
        <w:t xml:space="preserve"> </w:t>
      </w:r>
      <w:r>
        <w:rPr>
          <w:rFonts w:hint="eastAsia" w:asciiTheme="minorEastAsia" w:hAnsiTheme="minorEastAsia"/>
          <w:bCs/>
          <w:color w:val="000000" w:themeColor="text1"/>
          <w:sz w:val="28"/>
          <w:szCs w:val="28"/>
          <w:shd w:val="clear" w:color="auto" w:fill="FFFFFF" w:themeFill="background1"/>
          <w14:textFill>
            <w14:solidFill>
              <w14:schemeClr w14:val="tx1"/>
            </w14:solidFill>
          </w14:textFill>
        </w:rPr>
        <w:t>乙方的股东、监事、经理、高级管理人员、合作项目负责人及项目成员系甲方员工或其利害关系人的，应在合作前以书面方式如实、全面告知甲方。</w:t>
      </w:r>
    </w:p>
    <w:p w14:paraId="2F5C7729">
      <w:pPr>
        <w:spacing w:line="520" w:lineRule="exact"/>
        <w:ind w:firstLine="562" w:firstLineChars="200"/>
        <w:rPr>
          <w:rFonts w:asciiTheme="minorEastAsia" w:hAnsiTheme="minorEastAsia"/>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 xml:space="preserve">第五条 </w:t>
      </w:r>
      <w:r>
        <w:rPr>
          <w:rFonts w:hint="eastAsia" w:asciiTheme="minorEastAsia" w:hAnsiTheme="minorEastAsia"/>
          <w:bCs/>
          <w:color w:val="000000" w:themeColor="text1"/>
          <w:sz w:val="28"/>
          <w:szCs w:val="28"/>
          <w14:textFill>
            <w14:solidFill>
              <w14:schemeClr w14:val="tx1"/>
            </w14:solidFill>
          </w14:textFill>
        </w:rPr>
        <w:t>乙方不得聘用甲方员工；乙方不得雇佣与甲方存在劳动关系或劳动关系终止二年以内的人员参与本合同的履行。</w:t>
      </w:r>
    </w:p>
    <w:p w14:paraId="448D5590">
      <w:pPr>
        <w:spacing w:line="520" w:lineRule="exact"/>
        <w:ind w:firstLine="562" w:firstLineChars="200"/>
        <w:rPr>
          <w:rFonts w:asciiTheme="minorEastAsia" w:hAnsiTheme="minorEastAsia"/>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第六条</w:t>
      </w:r>
      <w:r>
        <w:rPr>
          <w:rFonts w:hint="eastAsia" w:asciiTheme="minorEastAsia" w:hAnsiTheme="minorEastAsia"/>
          <w:bCs/>
          <w:color w:val="000000" w:themeColor="text1"/>
          <w:sz w:val="28"/>
          <w:szCs w:val="28"/>
          <w14:textFill>
            <w14:solidFill>
              <w14:schemeClr w14:val="tx1"/>
            </w14:solidFill>
          </w14:textFill>
        </w:rPr>
        <w:t xml:space="preserve"> 禁止其他任何违反相关法律法规、廉洁制度的行为。</w:t>
      </w:r>
    </w:p>
    <w:p w14:paraId="2136A530">
      <w:pPr>
        <w:spacing w:line="520" w:lineRule="exact"/>
        <w:ind w:firstLine="562" w:firstLineChars="200"/>
        <w:rPr>
          <w:rFonts w:asciiTheme="minorEastAsia" w:hAnsiTheme="minorEastAsia"/>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第七条</w:t>
      </w:r>
      <w:r>
        <w:rPr>
          <w:rFonts w:hint="eastAsia" w:asciiTheme="minorEastAsia" w:hAnsiTheme="minorEastAsia"/>
          <w:bCs/>
          <w:color w:val="000000" w:themeColor="text1"/>
          <w:sz w:val="28"/>
          <w:szCs w:val="28"/>
          <w14:textFill>
            <w14:solidFill>
              <w14:schemeClr w14:val="tx1"/>
            </w14:solidFill>
          </w14:textFill>
        </w:rPr>
        <w:t xml:space="preserve"> 若乙方或乙方工作人员违反上述协议规定，乙方同意甲方有权解除合同，且乙方应向甲方退赔全部违规所得并支付相当于合同金额20%的违约金。该违约金用于弥补甲方损失，损失包括但不限于甲方的直接损失、预期利益损失、声誉损失及其他所有直接和间接损失。同时甲方有权根据乙方违规情节及所造成的影响采取降级暂停合作、取消招选资格、列入黑名单终止合作等措施。</w:t>
      </w:r>
    </w:p>
    <w:p w14:paraId="258FE65E">
      <w:pPr>
        <w:spacing w:line="520" w:lineRule="exact"/>
        <w:ind w:firstLine="562" w:firstLineChars="200"/>
        <w:rPr>
          <w:rFonts w:asciiTheme="minorEastAsia" w:hAnsiTheme="minorEastAsia"/>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第八条</w:t>
      </w:r>
      <w:r>
        <w:rPr>
          <w:rFonts w:hint="eastAsia" w:asciiTheme="minorEastAsia" w:hAnsiTheme="minorEastAsia"/>
          <w:bCs/>
          <w:color w:val="000000" w:themeColor="text1"/>
          <w:sz w:val="28"/>
          <w:szCs w:val="28"/>
          <w14:textFill>
            <w14:solidFill>
              <w14:schemeClr w14:val="tx1"/>
            </w14:solidFill>
          </w14:textFill>
        </w:rPr>
        <w:t xml:space="preserve"> 乙方应于甲方发现违规行为之日起7个工作日内支付上述款项，如未及时支付，甲方有权停止结算余款、质保金，且有权从合同款项中直接扣除。</w:t>
      </w:r>
    </w:p>
    <w:p w14:paraId="282EB96B">
      <w:pPr>
        <w:spacing w:line="520" w:lineRule="exact"/>
        <w:ind w:firstLine="562" w:firstLineChars="200"/>
        <w:rPr>
          <w:rFonts w:asciiTheme="minorEastAsia" w:hAnsiTheme="minorEastAsia"/>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第九条</w:t>
      </w:r>
      <w:r>
        <w:rPr>
          <w:rFonts w:hint="eastAsia" w:asciiTheme="minorEastAsia" w:hAnsiTheme="minorEastAsia"/>
          <w:bCs/>
          <w:color w:val="000000" w:themeColor="text1"/>
          <w:sz w:val="28"/>
          <w:szCs w:val="28"/>
          <w14:textFill>
            <w14:solidFill>
              <w14:schemeClr w14:val="tx1"/>
            </w14:solidFill>
          </w14:textFill>
        </w:rPr>
        <w:t xml:space="preserve"> 甲方工作人员如违反本协议约定的，公司纪检监察部门将严肃追责，给予相关人员纪律处分、组织处理或经济处罚；构成犯罪的，移送当地司法机关立案查处。 </w:t>
      </w:r>
    </w:p>
    <w:p w14:paraId="5C318CCF">
      <w:pPr>
        <w:spacing w:line="520" w:lineRule="exact"/>
        <w:ind w:firstLine="562" w:firstLineChars="200"/>
        <w:rPr>
          <w:rFonts w:asciiTheme="minorEastAsia" w:hAnsiTheme="minorEastAsia"/>
          <w:bCs/>
          <w:sz w:val="28"/>
          <w:szCs w:val="28"/>
        </w:rPr>
      </w:pPr>
      <w:r>
        <w:rPr>
          <w:rFonts w:hint="eastAsia" w:asciiTheme="minorEastAsia" w:hAnsiTheme="minorEastAsia"/>
          <w:b/>
          <w:bCs/>
          <w:sz w:val="28"/>
          <w:szCs w:val="28"/>
        </w:rPr>
        <w:t>第十条</w:t>
      </w:r>
      <w:r>
        <w:rPr>
          <w:rFonts w:hint="eastAsia" w:asciiTheme="minorEastAsia" w:hAnsiTheme="minorEastAsia"/>
          <w:bCs/>
          <w:sz w:val="28"/>
          <w:szCs w:val="28"/>
        </w:rPr>
        <w:t xml:space="preserve"> 本协议自双方签章后生效，本协议一式贰份，甲、乙方各执一份。</w:t>
      </w:r>
    </w:p>
    <w:p w14:paraId="1868A698">
      <w:pPr>
        <w:spacing w:line="520" w:lineRule="exact"/>
        <w:ind w:firstLine="548" w:firstLineChars="196"/>
        <w:rPr>
          <w:rFonts w:asciiTheme="minorEastAsia" w:hAnsiTheme="minorEastAsia"/>
          <w:bCs/>
          <w:sz w:val="28"/>
          <w:szCs w:val="28"/>
        </w:rPr>
      </w:pPr>
      <w:r>
        <w:rPr>
          <w:rFonts w:hint="eastAsia" w:asciiTheme="minorEastAsia" w:hAnsiTheme="minorEastAsia"/>
          <w:bCs/>
          <w:sz w:val="28"/>
          <w:szCs w:val="28"/>
        </w:rPr>
        <w:t xml:space="preserve">监督部门电话：027 — 87773971  </w:t>
      </w:r>
    </w:p>
    <w:p w14:paraId="1C68EBC3">
      <w:pPr>
        <w:spacing w:line="520" w:lineRule="exact"/>
        <w:ind w:firstLine="548" w:firstLineChars="196"/>
        <w:rPr>
          <w:rFonts w:asciiTheme="minorEastAsia" w:hAnsiTheme="minorEastAsia"/>
          <w:bCs/>
          <w:sz w:val="28"/>
          <w:szCs w:val="28"/>
        </w:rPr>
      </w:pPr>
      <w:r>
        <w:rPr>
          <w:rFonts w:hint="eastAsia" w:asciiTheme="minorEastAsia" w:hAnsiTheme="minorEastAsia"/>
          <w:bCs/>
          <w:sz w:val="28"/>
          <w:szCs w:val="28"/>
        </w:rPr>
        <w:t>举报投诉邮箱：jj@huaxincem.com</w:t>
      </w:r>
      <w:r>
        <w:rPr>
          <w:rFonts w:asciiTheme="minorEastAsia" w:hAnsiTheme="minorEastAsia"/>
          <w:bCs/>
          <w:sz w:val="28"/>
          <w:szCs w:val="28"/>
        </w:rPr>
        <w:t xml:space="preserve"> </w:t>
      </w:r>
    </w:p>
    <w:p w14:paraId="0872ED45">
      <w:pPr>
        <w:ind w:firstLine="700" w:firstLineChars="250"/>
        <w:rPr>
          <w:rFonts w:asciiTheme="minorEastAsia" w:hAnsiTheme="minorEastAsia"/>
          <w:bCs/>
          <w:sz w:val="28"/>
          <w:szCs w:val="28"/>
        </w:rPr>
      </w:pPr>
    </w:p>
    <w:p w14:paraId="7C0CDB0E">
      <w:pPr>
        <w:rPr>
          <w:rFonts w:asciiTheme="minorEastAsia" w:hAnsiTheme="minorEastAsia"/>
          <w:bCs/>
          <w:sz w:val="28"/>
          <w:szCs w:val="28"/>
        </w:rPr>
      </w:pPr>
      <w:r>
        <w:rPr>
          <w:rFonts w:hint="eastAsia" w:asciiTheme="minorEastAsia" w:hAnsiTheme="minorEastAsia"/>
          <w:bCs/>
          <w:sz w:val="28"/>
          <w:szCs w:val="28"/>
        </w:rPr>
        <w:t xml:space="preserve">甲  方： </w:t>
      </w:r>
      <w:r>
        <w:rPr>
          <w:rFonts w:asciiTheme="minorEastAsia" w:hAnsiTheme="minorEastAsia"/>
          <w:bCs/>
          <w:sz w:val="28"/>
          <w:szCs w:val="28"/>
        </w:rPr>
        <w:t xml:space="preserve">   </w:t>
      </w:r>
    </w:p>
    <w:p w14:paraId="6B79C3C8">
      <w:pPr>
        <w:rPr>
          <w:rFonts w:asciiTheme="minorEastAsia" w:hAnsiTheme="minorEastAsia"/>
          <w:bCs/>
          <w:sz w:val="28"/>
          <w:szCs w:val="28"/>
        </w:rPr>
      </w:pPr>
      <w:r>
        <w:rPr>
          <w:rFonts w:hint="eastAsia" w:asciiTheme="minorEastAsia" w:hAnsiTheme="minorEastAsia"/>
          <w:bCs/>
          <w:sz w:val="28"/>
          <w:szCs w:val="28"/>
        </w:rPr>
        <w:t xml:space="preserve">乙  方： </w:t>
      </w:r>
    </w:p>
    <w:p w14:paraId="42845D8E">
      <w:pPr>
        <w:ind w:firstLine="700" w:firstLineChars="250"/>
        <w:rPr>
          <w:rFonts w:asciiTheme="minorEastAsia" w:hAnsiTheme="minorEastAsia"/>
          <w:bCs/>
          <w:sz w:val="28"/>
          <w:szCs w:val="28"/>
        </w:rPr>
      </w:pPr>
    </w:p>
    <w:p w14:paraId="0AF29B15">
      <w:pPr>
        <w:pStyle w:val="3"/>
      </w:pPr>
      <w:r>
        <w:rPr>
          <w:rFonts w:hint="eastAsia" w:asciiTheme="minorEastAsia" w:hAnsiTheme="minorEastAsia"/>
          <w:sz w:val="28"/>
          <w:szCs w:val="28"/>
        </w:rPr>
        <w:t>年</w:t>
      </w:r>
      <w:r>
        <w:rPr>
          <w:rFonts w:asciiTheme="minorEastAsia" w:hAnsiTheme="minorEastAsia"/>
          <w:sz w:val="28"/>
          <w:szCs w:val="28"/>
        </w:rPr>
        <w:t xml:space="preserve">   </w:t>
      </w:r>
      <w:r>
        <w:rPr>
          <w:rFonts w:hint="eastAsia" w:asciiTheme="minorEastAsia" w:hAnsiTheme="minorEastAsia"/>
          <w:sz w:val="28"/>
          <w:szCs w:val="28"/>
        </w:rPr>
        <w:t>月</w:t>
      </w:r>
      <w:r>
        <w:rPr>
          <w:rFonts w:asciiTheme="minorEastAsia" w:hAnsiTheme="minorEastAsia"/>
          <w:sz w:val="28"/>
          <w:szCs w:val="28"/>
        </w:rPr>
        <w:t xml:space="preserve">   </w:t>
      </w:r>
      <w:r>
        <w:rPr>
          <w:rFonts w:hint="eastAsia" w:asciiTheme="minorEastAsia" w:hAnsiTheme="minorEastAsia"/>
          <w:sz w:val="28"/>
          <w:szCs w:val="28"/>
        </w:rPr>
        <w:t>日</w:t>
      </w:r>
      <w:r>
        <w:rPr>
          <w:sz w:val="28"/>
          <w:szCs w:val="28"/>
        </w:rPr>
        <w:br w:type="page"/>
      </w:r>
      <w:bookmarkStart w:id="535" w:name="_Toc152766749"/>
      <w:r>
        <w:rPr>
          <w:rFonts w:hint="eastAsia"/>
        </w:rPr>
        <w:t xml:space="preserve">附件7 </w:t>
      </w:r>
      <w:r>
        <w:t>甲方安全标准及安全管理分类</w:t>
      </w:r>
      <w:bookmarkEnd w:id="535"/>
    </w:p>
    <w:p w14:paraId="572AA483">
      <w:pPr>
        <w:rPr>
          <w:sz w:val="24"/>
        </w:rPr>
      </w:pPr>
      <w:r>
        <w:rPr>
          <w:rFonts w:hint="eastAsia"/>
          <w:sz w:val="24"/>
        </w:rPr>
        <w:t>一、项目施工常用国家行业安全标准清单</w:t>
      </w:r>
    </w:p>
    <w:tbl>
      <w:tblPr>
        <w:tblStyle w:val="23"/>
        <w:tblW w:w="5000" w:type="pct"/>
        <w:tblInd w:w="0" w:type="dxa"/>
        <w:tblLayout w:type="autofit"/>
        <w:tblCellMar>
          <w:top w:w="0" w:type="dxa"/>
          <w:left w:w="108" w:type="dxa"/>
          <w:bottom w:w="0" w:type="dxa"/>
          <w:right w:w="108" w:type="dxa"/>
        </w:tblCellMar>
      </w:tblPr>
      <w:tblGrid>
        <w:gridCol w:w="729"/>
        <w:gridCol w:w="4502"/>
        <w:gridCol w:w="1788"/>
        <w:gridCol w:w="1321"/>
      </w:tblGrid>
      <w:tr w14:paraId="0D99C40C">
        <w:tblPrEx>
          <w:tblCellMar>
            <w:top w:w="0" w:type="dxa"/>
            <w:left w:w="108" w:type="dxa"/>
            <w:bottom w:w="0" w:type="dxa"/>
            <w:right w:w="108" w:type="dxa"/>
          </w:tblCellMar>
        </w:tblPrEx>
        <w:tc>
          <w:tcPr>
            <w:tcW w:w="43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EF452DD">
            <w:pPr>
              <w:jc w:val="center"/>
              <w:rPr>
                <w:rFonts w:ascii="宋体" w:hAnsi="宋体" w:cs="宋体"/>
                <w:b/>
                <w:bCs/>
              </w:rPr>
            </w:pPr>
            <w:r>
              <w:rPr>
                <w:rFonts w:hint="eastAsia" w:ascii="宋体" w:hAnsi="宋体" w:cs="宋体"/>
                <w:b/>
                <w:bCs/>
              </w:rPr>
              <w:t>序号</w:t>
            </w:r>
          </w:p>
        </w:tc>
        <w:tc>
          <w:tcPr>
            <w:tcW w:w="2699" w:type="pct"/>
            <w:tcBorders>
              <w:top w:val="single" w:color="auto" w:sz="4" w:space="0"/>
              <w:left w:val="nil"/>
              <w:bottom w:val="single" w:color="auto" w:sz="4" w:space="0"/>
              <w:right w:val="single" w:color="auto" w:sz="4" w:space="0"/>
            </w:tcBorders>
            <w:shd w:val="clear" w:color="auto" w:fill="auto"/>
            <w:noWrap/>
            <w:vAlign w:val="center"/>
          </w:tcPr>
          <w:p w14:paraId="0D1C0B45">
            <w:pPr>
              <w:jc w:val="center"/>
              <w:rPr>
                <w:rFonts w:ascii="宋体" w:hAnsi="宋体" w:cs="宋体"/>
                <w:b/>
                <w:bCs/>
              </w:rPr>
            </w:pPr>
            <w:r>
              <w:rPr>
                <w:rFonts w:hint="eastAsia" w:ascii="宋体" w:hAnsi="宋体" w:cs="宋体"/>
                <w:b/>
                <w:bCs/>
              </w:rPr>
              <w:t>标准名称</w:t>
            </w:r>
          </w:p>
        </w:tc>
        <w:tc>
          <w:tcPr>
            <w:tcW w:w="1072" w:type="pct"/>
            <w:tcBorders>
              <w:top w:val="single" w:color="auto" w:sz="4" w:space="0"/>
              <w:left w:val="nil"/>
              <w:bottom w:val="single" w:color="auto" w:sz="4" w:space="0"/>
              <w:right w:val="single" w:color="auto" w:sz="4" w:space="0"/>
            </w:tcBorders>
            <w:shd w:val="clear" w:color="auto" w:fill="auto"/>
            <w:noWrap/>
            <w:vAlign w:val="center"/>
          </w:tcPr>
          <w:p w14:paraId="5CF74097">
            <w:pPr>
              <w:jc w:val="center"/>
              <w:rPr>
                <w:rFonts w:ascii="宋体" w:hAnsi="宋体" w:cs="宋体"/>
                <w:b/>
                <w:bCs/>
              </w:rPr>
            </w:pPr>
            <w:r>
              <w:rPr>
                <w:rFonts w:hint="eastAsia" w:ascii="宋体" w:hAnsi="宋体" w:cs="宋体"/>
                <w:b/>
                <w:bCs/>
              </w:rPr>
              <w:t>标准号</w:t>
            </w:r>
          </w:p>
        </w:tc>
        <w:tc>
          <w:tcPr>
            <w:tcW w:w="792" w:type="pct"/>
            <w:tcBorders>
              <w:top w:val="single" w:color="auto" w:sz="4" w:space="0"/>
              <w:left w:val="nil"/>
              <w:bottom w:val="single" w:color="auto" w:sz="4" w:space="0"/>
              <w:right w:val="single" w:color="auto" w:sz="4" w:space="0"/>
            </w:tcBorders>
            <w:shd w:val="clear" w:color="auto" w:fill="auto"/>
            <w:noWrap/>
            <w:vAlign w:val="center"/>
          </w:tcPr>
          <w:p w14:paraId="2AACC1D0">
            <w:pPr>
              <w:jc w:val="center"/>
              <w:rPr>
                <w:rFonts w:ascii="宋体" w:hAnsi="宋体" w:cs="宋体"/>
                <w:b/>
                <w:bCs/>
              </w:rPr>
            </w:pPr>
            <w:r>
              <w:rPr>
                <w:rFonts w:hint="eastAsia" w:ascii="宋体" w:hAnsi="宋体" w:cs="宋体"/>
                <w:b/>
                <w:bCs/>
              </w:rPr>
              <w:t>国标/部标</w:t>
            </w:r>
          </w:p>
        </w:tc>
      </w:tr>
      <w:tr w14:paraId="6F7042A1">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0A260BF0">
            <w:pPr>
              <w:jc w:val="center"/>
              <w:rPr>
                <w:rFonts w:ascii="宋体" w:hAnsi="宋体" w:cs="宋体"/>
              </w:rPr>
            </w:pPr>
            <w:r>
              <w:rPr>
                <w:rFonts w:hint="eastAsia" w:ascii="宋体" w:hAnsi="宋体" w:cs="宋体"/>
              </w:rPr>
              <w:t>1</w:t>
            </w:r>
          </w:p>
        </w:tc>
        <w:tc>
          <w:tcPr>
            <w:tcW w:w="2699" w:type="pct"/>
            <w:tcBorders>
              <w:top w:val="nil"/>
              <w:left w:val="nil"/>
              <w:bottom w:val="single" w:color="auto" w:sz="4" w:space="0"/>
              <w:right w:val="single" w:color="auto" w:sz="4" w:space="0"/>
            </w:tcBorders>
            <w:shd w:val="clear" w:color="auto" w:fill="auto"/>
            <w:noWrap/>
            <w:vAlign w:val="center"/>
          </w:tcPr>
          <w:p w14:paraId="5ADD2AE4">
            <w:pPr>
              <w:jc w:val="left"/>
              <w:rPr>
                <w:rFonts w:ascii="宋体" w:hAnsi="宋体" w:cs="宋体"/>
              </w:rPr>
            </w:pPr>
            <w:r>
              <w:rPr>
                <w:rFonts w:hint="eastAsia" w:ascii="宋体" w:hAnsi="宋体" w:cs="宋体"/>
              </w:rPr>
              <w:t>建筑施工安全检查标准</w:t>
            </w:r>
          </w:p>
        </w:tc>
        <w:tc>
          <w:tcPr>
            <w:tcW w:w="1072" w:type="pct"/>
            <w:tcBorders>
              <w:top w:val="nil"/>
              <w:left w:val="nil"/>
              <w:bottom w:val="single" w:color="auto" w:sz="4" w:space="0"/>
              <w:right w:val="single" w:color="auto" w:sz="4" w:space="0"/>
            </w:tcBorders>
            <w:shd w:val="clear" w:color="auto" w:fill="auto"/>
            <w:noWrap/>
            <w:vAlign w:val="center"/>
          </w:tcPr>
          <w:p w14:paraId="4FB70BCA">
            <w:pPr>
              <w:jc w:val="center"/>
              <w:rPr>
                <w:rFonts w:ascii="宋体" w:hAnsi="宋体" w:cs="宋体"/>
              </w:rPr>
            </w:pPr>
            <w:r>
              <w:rPr>
                <w:rFonts w:hint="eastAsia" w:ascii="宋体" w:hAnsi="宋体" w:cs="宋体"/>
              </w:rPr>
              <w:t>JGJ59-2011</w:t>
            </w:r>
          </w:p>
        </w:tc>
        <w:tc>
          <w:tcPr>
            <w:tcW w:w="792" w:type="pct"/>
            <w:tcBorders>
              <w:top w:val="nil"/>
              <w:left w:val="nil"/>
              <w:bottom w:val="single" w:color="auto" w:sz="4" w:space="0"/>
              <w:right w:val="single" w:color="auto" w:sz="4" w:space="0"/>
            </w:tcBorders>
            <w:shd w:val="clear" w:color="auto" w:fill="auto"/>
            <w:noWrap/>
            <w:vAlign w:val="center"/>
          </w:tcPr>
          <w:p w14:paraId="74224208">
            <w:pPr>
              <w:jc w:val="center"/>
              <w:rPr>
                <w:rFonts w:ascii="宋体" w:hAnsi="宋体" w:cs="宋体"/>
              </w:rPr>
            </w:pPr>
            <w:r>
              <w:rPr>
                <w:rFonts w:hint="eastAsia" w:ascii="宋体" w:hAnsi="宋体" w:cs="宋体"/>
              </w:rPr>
              <w:t>部标</w:t>
            </w:r>
          </w:p>
        </w:tc>
      </w:tr>
      <w:tr w14:paraId="2617904E">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57982081">
            <w:pPr>
              <w:jc w:val="center"/>
              <w:rPr>
                <w:rFonts w:ascii="宋体" w:hAnsi="宋体" w:cs="宋体"/>
              </w:rPr>
            </w:pPr>
            <w:r>
              <w:rPr>
                <w:rFonts w:hint="eastAsia" w:ascii="宋体" w:hAnsi="宋体" w:cs="宋体"/>
              </w:rPr>
              <w:t>2</w:t>
            </w:r>
          </w:p>
        </w:tc>
        <w:tc>
          <w:tcPr>
            <w:tcW w:w="2699" w:type="pct"/>
            <w:tcBorders>
              <w:top w:val="nil"/>
              <w:left w:val="nil"/>
              <w:bottom w:val="single" w:color="auto" w:sz="4" w:space="0"/>
              <w:right w:val="single" w:color="auto" w:sz="4" w:space="0"/>
            </w:tcBorders>
            <w:shd w:val="clear" w:color="auto" w:fill="auto"/>
            <w:noWrap/>
            <w:vAlign w:val="center"/>
          </w:tcPr>
          <w:p w14:paraId="01D087C7">
            <w:pPr>
              <w:jc w:val="left"/>
              <w:rPr>
                <w:rFonts w:ascii="宋体" w:hAnsi="宋体" w:cs="宋体"/>
              </w:rPr>
            </w:pPr>
            <w:r>
              <w:rPr>
                <w:rFonts w:hint="eastAsia" w:ascii="宋体" w:hAnsi="宋体" w:cs="宋体"/>
              </w:rPr>
              <w:t>施工企业安全生产评价标准</w:t>
            </w:r>
          </w:p>
        </w:tc>
        <w:tc>
          <w:tcPr>
            <w:tcW w:w="1072" w:type="pct"/>
            <w:tcBorders>
              <w:top w:val="nil"/>
              <w:left w:val="nil"/>
              <w:bottom w:val="single" w:color="auto" w:sz="4" w:space="0"/>
              <w:right w:val="single" w:color="auto" w:sz="4" w:space="0"/>
            </w:tcBorders>
            <w:shd w:val="clear" w:color="auto" w:fill="auto"/>
            <w:noWrap/>
            <w:vAlign w:val="center"/>
          </w:tcPr>
          <w:p w14:paraId="04261FE5">
            <w:pPr>
              <w:jc w:val="center"/>
              <w:rPr>
                <w:rFonts w:ascii="宋体" w:hAnsi="宋体" w:cs="宋体"/>
              </w:rPr>
            </w:pPr>
            <w:r>
              <w:rPr>
                <w:rFonts w:hint="eastAsia" w:ascii="宋体" w:hAnsi="宋体" w:cs="宋体"/>
              </w:rPr>
              <w:t>JGJ77-2010</w:t>
            </w:r>
          </w:p>
        </w:tc>
        <w:tc>
          <w:tcPr>
            <w:tcW w:w="792" w:type="pct"/>
            <w:tcBorders>
              <w:top w:val="nil"/>
              <w:left w:val="nil"/>
              <w:bottom w:val="single" w:color="auto" w:sz="4" w:space="0"/>
              <w:right w:val="single" w:color="auto" w:sz="4" w:space="0"/>
            </w:tcBorders>
            <w:shd w:val="clear" w:color="auto" w:fill="auto"/>
            <w:noWrap/>
            <w:vAlign w:val="center"/>
          </w:tcPr>
          <w:p w14:paraId="0FC6B713">
            <w:pPr>
              <w:jc w:val="center"/>
              <w:rPr>
                <w:rFonts w:ascii="宋体" w:hAnsi="宋体" w:cs="宋体"/>
              </w:rPr>
            </w:pPr>
            <w:r>
              <w:rPr>
                <w:rFonts w:hint="eastAsia" w:ascii="宋体" w:hAnsi="宋体" w:cs="宋体"/>
              </w:rPr>
              <w:t>部标</w:t>
            </w:r>
          </w:p>
        </w:tc>
      </w:tr>
      <w:tr w14:paraId="03783A91">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6CFD6BBE">
            <w:pPr>
              <w:jc w:val="center"/>
              <w:rPr>
                <w:rFonts w:ascii="宋体" w:hAnsi="宋体" w:cs="宋体"/>
              </w:rPr>
            </w:pPr>
            <w:r>
              <w:rPr>
                <w:rFonts w:hint="eastAsia" w:ascii="宋体" w:hAnsi="宋体" w:cs="宋体"/>
              </w:rPr>
              <w:t>3</w:t>
            </w:r>
          </w:p>
        </w:tc>
        <w:tc>
          <w:tcPr>
            <w:tcW w:w="2699" w:type="pct"/>
            <w:tcBorders>
              <w:top w:val="nil"/>
              <w:left w:val="nil"/>
              <w:bottom w:val="single" w:color="auto" w:sz="4" w:space="0"/>
              <w:right w:val="single" w:color="auto" w:sz="4" w:space="0"/>
            </w:tcBorders>
            <w:shd w:val="clear" w:color="auto" w:fill="auto"/>
            <w:noWrap/>
            <w:vAlign w:val="center"/>
          </w:tcPr>
          <w:p w14:paraId="77A93CF8">
            <w:pPr>
              <w:jc w:val="left"/>
              <w:rPr>
                <w:rFonts w:ascii="宋体" w:hAnsi="宋体" w:cs="宋体"/>
              </w:rPr>
            </w:pPr>
            <w:r>
              <w:rPr>
                <w:rFonts w:hint="eastAsia" w:ascii="宋体" w:hAnsi="宋体" w:cs="宋体"/>
              </w:rPr>
              <w:t>施工现场临时用电安全技术规范</w:t>
            </w:r>
          </w:p>
        </w:tc>
        <w:tc>
          <w:tcPr>
            <w:tcW w:w="1072" w:type="pct"/>
            <w:tcBorders>
              <w:top w:val="nil"/>
              <w:left w:val="nil"/>
              <w:bottom w:val="single" w:color="auto" w:sz="4" w:space="0"/>
              <w:right w:val="single" w:color="auto" w:sz="4" w:space="0"/>
            </w:tcBorders>
            <w:shd w:val="clear" w:color="auto" w:fill="auto"/>
            <w:noWrap/>
            <w:vAlign w:val="center"/>
          </w:tcPr>
          <w:p w14:paraId="46C00E07">
            <w:pPr>
              <w:jc w:val="center"/>
              <w:rPr>
                <w:rFonts w:ascii="宋体" w:hAnsi="宋体" w:cs="宋体"/>
              </w:rPr>
            </w:pPr>
            <w:r>
              <w:rPr>
                <w:rFonts w:hint="eastAsia" w:ascii="宋体" w:hAnsi="宋体" w:cs="宋体"/>
              </w:rPr>
              <w:t>JGJ46-2005</w:t>
            </w:r>
          </w:p>
        </w:tc>
        <w:tc>
          <w:tcPr>
            <w:tcW w:w="792" w:type="pct"/>
            <w:tcBorders>
              <w:top w:val="nil"/>
              <w:left w:val="nil"/>
              <w:bottom w:val="single" w:color="auto" w:sz="4" w:space="0"/>
              <w:right w:val="single" w:color="auto" w:sz="4" w:space="0"/>
            </w:tcBorders>
            <w:shd w:val="clear" w:color="auto" w:fill="auto"/>
            <w:noWrap/>
            <w:vAlign w:val="center"/>
          </w:tcPr>
          <w:p w14:paraId="2C42CB44">
            <w:pPr>
              <w:jc w:val="center"/>
              <w:rPr>
                <w:rFonts w:ascii="宋体" w:hAnsi="宋体" w:cs="宋体"/>
              </w:rPr>
            </w:pPr>
            <w:r>
              <w:rPr>
                <w:rFonts w:hint="eastAsia" w:ascii="宋体" w:hAnsi="宋体" w:cs="宋体"/>
              </w:rPr>
              <w:t>部标</w:t>
            </w:r>
          </w:p>
        </w:tc>
      </w:tr>
      <w:tr w14:paraId="561017BE">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71541CBD">
            <w:pPr>
              <w:jc w:val="center"/>
              <w:rPr>
                <w:rFonts w:ascii="宋体" w:hAnsi="宋体" w:cs="宋体"/>
              </w:rPr>
            </w:pPr>
            <w:r>
              <w:rPr>
                <w:rFonts w:hint="eastAsia" w:ascii="宋体" w:hAnsi="宋体" w:cs="宋体"/>
              </w:rPr>
              <w:t>4</w:t>
            </w:r>
          </w:p>
        </w:tc>
        <w:tc>
          <w:tcPr>
            <w:tcW w:w="2699" w:type="pct"/>
            <w:tcBorders>
              <w:top w:val="nil"/>
              <w:left w:val="nil"/>
              <w:bottom w:val="single" w:color="auto" w:sz="4" w:space="0"/>
              <w:right w:val="single" w:color="auto" w:sz="4" w:space="0"/>
            </w:tcBorders>
            <w:shd w:val="clear" w:color="auto" w:fill="auto"/>
            <w:noWrap/>
            <w:vAlign w:val="center"/>
          </w:tcPr>
          <w:p w14:paraId="77FC4566">
            <w:pPr>
              <w:jc w:val="left"/>
              <w:rPr>
                <w:rFonts w:ascii="宋体" w:hAnsi="宋体" w:cs="宋体"/>
              </w:rPr>
            </w:pPr>
            <w:r>
              <w:rPr>
                <w:rFonts w:hint="eastAsia" w:ascii="宋体" w:hAnsi="宋体" w:cs="宋体"/>
              </w:rPr>
              <w:t>建筑施工高处作业安全技术规范</w:t>
            </w:r>
          </w:p>
        </w:tc>
        <w:tc>
          <w:tcPr>
            <w:tcW w:w="1072" w:type="pct"/>
            <w:tcBorders>
              <w:top w:val="nil"/>
              <w:left w:val="nil"/>
              <w:bottom w:val="single" w:color="auto" w:sz="4" w:space="0"/>
              <w:right w:val="single" w:color="auto" w:sz="4" w:space="0"/>
            </w:tcBorders>
            <w:shd w:val="clear" w:color="auto" w:fill="auto"/>
            <w:noWrap/>
            <w:vAlign w:val="center"/>
          </w:tcPr>
          <w:p w14:paraId="71641CDF">
            <w:pPr>
              <w:jc w:val="center"/>
              <w:rPr>
                <w:rFonts w:ascii="宋体" w:hAnsi="宋体" w:cs="宋体"/>
              </w:rPr>
            </w:pPr>
            <w:r>
              <w:rPr>
                <w:rFonts w:hint="eastAsia" w:ascii="宋体" w:hAnsi="宋体" w:cs="宋体"/>
              </w:rPr>
              <w:t>JGJ80-2016</w:t>
            </w:r>
          </w:p>
        </w:tc>
        <w:tc>
          <w:tcPr>
            <w:tcW w:w="792" w:type="pct"/>
            <w:tcBorders>
              <w:top w:val="nil"/>
              <w:left w:val="nil"/>
              <w:bottom w:val="single" w:color="auto" w:sz="4" w:space="0"/>
              <w:right w:val="single" w:color="auto" w:sz="4" w:space="0"/>
            </w:tcBorders>
            <w:shd w:val="clear" w:color="auto" w:fill="auto"/>
            <w:noWrap/>
            <w:vAlign w:val="center"/>
          </w:tcPr>
          <w:p w14:paraId="6DAB86F6">
            <w:pPr>
              <w:jc w:val="center"/>
              <w:rPr>
                <w:rFonts w:ascii="宋体" w:hAnsi="宋体" w:cs="宋体"/>
              </w:rPr>
            </w:pPr>
            <w:r>
              <w:rPr>
                <w:rFonts w:hint="eastAsia" w:ascii="宋体" w:hAnsi="宋体" w:cs="宋体"/>
              </w:rPr>
              <w:t>部标</w:t>
            </w:r>
          </w:p>
        </w:tc>
      </w:tr>
      <w:tr w14:paraId="15BB641F">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0FFADFA5">
            <w:pPr>
              <w:jc w:val="center"/>
              <w:rPr>
                <w:rFonts w:ascii="宋体" w:hAnsi="宋体" w:cs="宋体"/>
              </w:rPr>
            </w:pPr>
            <w:r>
              <w:rPr>
                <w:rFonts w:hint="eastAsia" w:ascii="宋体" w:hAnsi="宋体" w:cs="宋体"/>
              </w:rPr>
              <w:t>5</w:t>
            </w:r>
          </w:p>
        </w:tc>
        <w:tc>
          <w:tcPr>
            <w:tcW w:w="2699" w:type="pct"/>
            <w:tcBorders>
              <w:top w:val="nil"/>
              <w:left w:val="nil"/>
              <w:bottom w:val="single" w:color="auto" w:sz="4" w:space="0"/>
              <w:right w:val="single" w:color="auto" w:sz="4" w:space="0"/>
            </w:tcBorders>
            <w:shd w:val="clear" w:color="auto" w:fill="auto"/>
            <w:noWrap/>
            <w:vAlign w:val="center"/>
          </w:tcPr>
          <w:p w14:paraId="4A93A414">
            <w:pPr>
              <w:jc w:val="left"/>
              <w:rPr>
                <w:rFonts w:ascii="宋体" w:hAnsi="宋体" w:cs="宋体"/>
              </w:rPr>
            </w:pPr>
            <w:r>
              <w:rPr>
                <w:rFonts w:hint="eastAsia" w:ascii="宋体" w:hAnsi="宋体" w:cs="宋体"/>
              </w:rPr>
              <w:t>建筑施工扣件式钢管脚手架安全技术规范</w:t>
            </w:r>
          </w:p>
        </w:tc>
        <w:tc>
          <w:tcPr>
            <w:tcW w:w="1072" w:type="pct"/>
            <w:tcBorders>
              <w:top w:val="nil"/>
              <w:left w:val="nil"/>
              <w:bottom w:val="single" w:color="auto" w:sz="4" w:space="0"/>
              <w:right w:val="single" w:color="auto" w:sz="4" w:space="0"/>
            </w:tcBorders>
            <w:shd w:val="clear" w:color="auto" w:fill="auto"/>
            <w:noWrap/>
            <w:vAlign w:val="center"/>
          </w:tcPr>
          <w:p w14:paraId="2BD6965C">
            <w:pPr>
              <w:jc w:val="center"/>
              <w:rPr>
                <w:rFonts w:ascii="宋体" w:hAnsi="宋体" w:cs="宋体"/>
              </w:rPr>
            </w:pPr>
            <w:r>
              <w:rPr>
                <w:rFonts w:hint="eastAsia" w:ascii="宋体" w:hAnsi="宋体" w:cs="宋体"/>
              </w:rPr>
              <w:t>JGJ130-2011</w:t>
            </w:r>
          </w:p>
        </w:tc>
        <w:tc>
          <w:tcPr>
            <w:tcW w:w="792" w:type="pct"/>
            <w:tcBorders>
              <w:top w:val="nil"/>
              <w:left w:val="nil"/>
              <w:bottom w:val="single" w:color="auto" w:sz="4" w:space="0"/>
              <w:right w:val="single" w:color="auto" w:sz="4" w:space="0"/>
            </w:tcBorders>
            <w:shd w:val="clear" w:color="auto" w:fill="auto"/>
            <w:noWrap/>
            <w:vAlign w:val="center"/>
          </w:tcPr>
          <w:p w14:paraId="223F7C18">
            <w:pPr>
              <w:jc w:val="center"/>
              <w:rPr>
                <w:rFonts w:ascii="宋体" w:hAnsi="宋体" w:cs="宋体"/>
              </w:rPr>
            </w:pPr>
            <w:r>
              <w:rPr>
                <w:rFonts w:hint="eastAsia" w:ascii="宋体" w:hAnsi="宋体" w:cs="宋体"/>
              </w:rPr>
              <w:t>部标</w:t>
            </w:r>
          </w:p>
        </w:tc>
      </w:tr>
      <w:tr w14:paraId="577D3F15">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211C8C9C">
            <w:pPr>
              <w:jc w:val="center"/>
              <w:rPr>
                <w:rFonts w:ascii="宋体" w:hAnsi="宋体" w:cs="宋体"/>
              </w:rPr>
            </w:pPr>
            <w:r>
              <w:rPr>
                <w:rFonts w:hint="eastAsia" w:ascii="宋体" w:hAnsi="宋体" w:cs="宋体"/>
              </w:rPr>
              <w:t>6</w:t>
            </w:r>
          </w:p>
        </w:tc>
        <w:tc>
          <w:tcPr>
            <w:tcW w:w="2699" w:type="pct"/>
            <w:tcBorders>
              <w:top w:val="nil"/>
              <w:left w:val="nil"/>
              <w:bottom w:val="single" w:color="auto" w:sz="4" w:space="0"/>
              <w:right w:val="single" w:color="auto" w:sz="4" w:space="0"/>
            </w:tcBorders>
            <w:shd w:val="clear" w:color="auto" w:fill="auto"/>
            <w:noWrap/>
            <w:vAlign w:val="center"/>
          </w:tcPr>
          <w:p w14:paraId="3274BF7E">
            <w:pPr>
              <w:jc w:val="left"/>
              <w:rPr>
                <w:rFonts w:ascii="宋体" w:hAnsi="宋体" w:cs="宋体"/>
              </w:rPr>
            </w:pPr>
            <w:r>
              <w:rPr>
                <w:rFonts w:hint="eastAsia" w:ascii="宋体" w:hAnsi="宋体" w:cs="宋体"/>
              </w:rPr>
              <w:t>建筑施工工具式脚手架安全技术规范</w:t>
            </w:r>
          </w:p>
        </w:tc>
        <w:tc>
          <w:tcPr>
            <w:tcW w:w="1072" w:type="pct"/>
            <w:tcBorders>
              <w:top w:val="nil"/>
              <w:left w:val="nil"/>
              <w:bottom w:val="single" w:color="auto" w:sz="4" w:space="0"/>
              <w:right w:val="single" w:color="auto" w:sz="4" w:space="0"/>
            </w:tcBorders>
            <w:shd w:val="clear" w:color="auto" w:fill="auto"/>
            <w:noWrap/>
            <w:vAlign w:val="center"/>
          </w:tcPr>
          <w:p w14:paraId="51C908BE">
            <w:pPr>
              <w:jc w:val="center"/>
              <w:rPr>
                <w:rFonts w:ascii="宋体" w:hAnsi="宋体" w:cs="宋体"/>
              </w:rPr>
            </w:pPr>
            <w:r>
              <w:rPr>
                <w:rFonts w:hint="eastAsia" w:ascii="宋体" w:hAnsi="宋体" w:cs="宋体"/>
              </w:rPr>
              <w:t>JGJ202-2010</w:t>
            </w:r>
          </w:p>
        </w:tc>
        <w:tc>
          <w:tcPr>
            <w:tcW w:w="792" w:type="pct"/>
            <w:tcBorders>
              <w:top w:val="nil"/>
              <w:left w:val="nil"/>
              <w:bottom w:val="single" w:color="auto" w:sz="4" w:space="0"/>
              <w:right w:val="single" w:color="auto" w:sz="4" w:space="0"/>
            </w:tcBorders>
            <w:shd w:val="clear" w:color="auto" w:fill="auto"/>
            <w:noWrap/>
            <w:vAlign w:val="center"/>
          </w:tcPr>
          <w:p w14:paraId="4E88EC25">
            <w:pPr>
              <w:jc w:val="center"/>
              <w:rPr>
                <w:rFonts w:ascii="宋体" w:hAnsi="宋体" w:cs="宋体"/>
              </w:rPr>
            </w:pPr>
            <w:r>
              <w:rPr>
                <w:rFonts w:hint="eastAsia" w:ascii="宋体" w:hAnsi="宋体" w:cs="宋体"/>
              </w:rPr>
              <w:t>部标</w:t>
            </w:r>
          </w:p>
        </w:tc>
      </w:tr>
      <w:tr w14:paraId="73AB2663">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76D62A84">
            <w:pPr>
              <w:jc w:val="center"/>
              <w:rPr>
                <w:rFonts w:ascii="宋体" w:hAnsi="宋体" w:cs="宋体"/>
              </w:rPr>
            </w:pPr>
            <w:r>
              <w:rPr>
                <w:rFonts w:hint="eastAsia" w:ascii="宋体" w:hAnsi="宋体" w:cs="宋体"/>
              </w:rPr>
              <w:t>7</w:t>
            </w:r>
          </w:p>
        </w:tc>
        <w:tc>
          <w:tcPr>
            <w:tcW w:w="2699" w:type="pct"/>
            <w:tcBorders>
              <w:top w:val="nil"/>
              <w:left w:val="nil"/>
              <w:bottom w:val="single" w:color="auto" w:sz="4" w:space="0"/>
              <w:right w:val="single" w:color="auto" w:sz="4" w:space="0"/>
            </w:tcBorders>
            <w:shd w:val="clear" w:color="auto" w:fill="auto"/>
            <w:noWrap/>
            <w:vAlign w:val="center"/>
          </w:tcPr>
          <w:p w14:paraId="2ACB4C9D">
            <w:pPr>
              <w:jc w:val="left"/>
              <w:rPr>
                <w:rFonts w:ascii="宋体" w:hAnsi="宋体" w:cs="宋体"/>
              </w:rPr>
            </w:pPr>
            <w:r>
              <w:rPr>
                <w:rFonts w:hint="eastAsia" w:ascii="宋体" w:hAnsi="宋体" w:cs="宋体"/>
              </w:rPr>
              <w:t>钢管脚手架扣件</w:t>
            </w:r>
          </w:p>
        </w:tc>
        <w:tc>
          <w:tcPr>
            <w:tcW w:w="1072" w:type="pct"/>
            <w:tcBorders>
              <w:top w:val="nil"/>
              <w:left w:val="nil"/>
              <w:bottom w:val="single" w:color="auto" w:sz="4" w:space="0"/>
              <w:right w:val="single" w:color="auto" w:sz="4" w:space="0"/>
            </w:tcBorders>
            <w:shd w:val="clear" w:color="auto" w:fill="auto"/>
            <w:noWrap/>
            <w:vAlign w:val="center"/>
          </w:tcPr>
          <w:p w14:paraId="45EF3109">
            <w:pPr>
              <w:jc w:val="center"/>
              <w:rPr>
                <w:rFonts w:ascii="宋体" w:hAnsi="宋体" w:cs="宋体"/>
              </w:rPr>
            </w:pPr>
            <w:r>
              <w:rPr>
                <w:rFonts w:hint="eastAsia" w:ascii="宋体" w:hAnsi="宋体" w:cs="宋体"/>
              </w:rPr>
              <w:t>GB15831-2006</w:t>
            </w:r>
          </w:p>
        </w:tc>
        <w:tc>
          <w:tcPr>
            <w:tcW w:w="792" w:type="pct"/>
            <w:tcBorders>
              <w:top w:val="nil"/>
              <w:left w:val="nil"/>
              <w:bottom w:val="single" w:color="auto" w:sz="4" w:space="0"/>
              <w:right w:val="single" w:color="auto" w:sz="4" w:space="0"/>
            </w:tcBorders>
            <w:shd w:val="clear" w:color="auto" w:fill="auto"/>
            <w:noWrap/>
            <w:vAlign w:val="center"/>
          </w:tcPr>
          <w:p w14:paraId="46ACAC57">
            <w:pPr>
              <w:jc w:val="center"/>
              <w:rPr>
                <w:rFonts w:ascii="宋体" w:hAnsi="宋体" w:cs="宋体"/>
              </w:rPr>
            </w:pPr>
            <w:r>
              <w:rPr>
                <w:rFonts w:hint="eastAsia" w:ascii="宋体" w:hAnsi="宋体" w:cs="宋体"/>
              </w:rPr>
              <w:t>国标</w:t>
            </w:r>
          </w:p>
        </w:tc>
      </w:tr>
      <w:tr w14:paraId="7E496E4A">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0AE156C6">
            <w:pPr>
              <w:jc w:val="center"/>
              <w:rPr>
                <w:rFonts w:ascii="宋体" w:hAnsi="宋体" w:cs="宋体"/>
              </w:rPr>
            </w:pPr>
            <w:r>
              <w:rPr>
                <w:rFonts w:hint="eastAsia" w:ascii="宋体" w:hAnsi="宋体" w:cs="宋体"/>
              </w:rPr>
              <w:t>8</w:t>
            </w:r>
          </w:p>
        </w:tc>
        <w:tc>
          <w:tcPr>
            <w:tcW w:w="2699" w:type="pct"/>
            <w:tcBorders>
              <w:top w:val="nil"/>
              <w:left w:val="nil"/>
              <w:bottom w:val="single" w:color="auto" w:sz="4" w:space="0"/>
              <w:right w:val="single" w:color="auto" w:sz="4" w:space="0"/>
            </w:tcBorders>
            <w:shd w:val="clear" w:color="auto" w:fill="auto"/>
            <w:noWrap/>
            <w:vAlign w:val="center"/>
          </w:tcPr>
          <w:p w14:paraId="02347CC0">
            <w:pPr>
              <w:jc w:val="left"/>
              <w:rPr>
                <w:rFonts w:ascii="宋体" w:hAnsi="宋体" w:cs="宋体"/>
              </w:rPr>
            </w:pPr>
            <w:r>
              <w:rPr>
                <w:rFonts w:hint="eastAsia" w:ascii="宋体" w:hAnsi="宋体" w:cs="宋体"/>
              </w:rPr>
              <w:t>安全带</w:t>
            </w:r>
          </w:p>
        </w:tc>
        <w:tc>
          <w:tcPr>
            <w:tcW w:w="1072" w:type="pct"/>
            <w:tcBorders>
              <w:top w:val="nil"/>
              <w:left w:val="nil"/>
              <w:bottom w:val="single" w:color="auto" w:sz="4" w:space="0"/>
              <w:right w:val="single" w:color="auto" w:sz="4" w:space="0"/>
            </w:tcBorders>
            <w:shd w:val="clear" w:color="auto" w:fill="auto"/>
            <w:noWrap/>
            <w:vAlign w:val="center"/>
          </w:tcPr>
          <w:p w14:paraId="08774337">
            <w:pPr>
              <w:jc w:val="center"/>
              <w:rPr>
                <w:rFonts w:ascii="宋体" w:hAnsi="宋体" w:cs="宋体"/>
              </w:rPr>
            </w:pPr>
            <w:r>
              <w:rPr>
                <w:rFonts w:hint="eastAsia" w:ascii="宋体" w:hAnsi="宋体" w:cs="宋体"/>
              </w:rPr>
              <w:t>GB6095-2009</w:t>
            </w:r>
          </w:p>
        </w:tc>
        <w:tc>
          <w:tcPr>
            <w:tcW w:w="792" w:type="pct"/>
            <w:tcBorders>
              <w:top w:val="nil"/>
              <w:left w:val="nil"/>
              <w:bottom w:val="single" w:color="auto" w:sz="4" w:space="0"/>
              <w:right w:val="single" w:color="auto" w:sz="4" w:space="0"/>
            </w:tcBorders>
            <w:shd w:val="clear" w:color="auto" w:fill="auto"/>
            <w:noWrap/>
            <w:vAlign w:val="center"/>
          </w:tcPr>
          <w:p w14:paraId="4766DEC6">
            <w:pPr>
              <w:jc w:val="center"/>
              <w:rPr>
                <w:rFonts w:ascii="宋体" w:hAnsi="宋体" w:cs="宋体"/>
              </w:rPr>
            </w:pPr>
            <w:r>
              <w:rPr>
                <w:rFonts w:hint="eastAsia" w:ascii="宋体" w:hAnsi="宋体" w:cs="宋体"/>
              </w:rPr>
              <w:t>国标</w:t>
            </w:r>
          </w:p>
        </w:tc>
      </w:tr>
      <w:tr w14:paraId="5A1D32FC">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3874FC29">
            <w:pPr>
              <w:jc w:val="center"/>
              <w:rPr>
                <w:rFonts w:ascii="宋体" w:hAnsi="宋体" w:cs="宋体"/>
              </w:rPr>
            </w:pPr>
            <w:r>
              <w:rPr>
                <w:rFonts w:hint="eastAsia" w:ascii="宋体" w:hAnsi="宋体" w:cs="宋体"/>
              </w:rPr>
              <w:t>9</w:t>
            </w:r>
          </w:p>
        </w:tc>
        <w:tc>
          <w:tcPr>
            <w:tcW w:w="2699" w:type="pct"/>
            <w:tcBorders>
              <w:top w:val="nil"/>
              <w:left w:val="nil"/>
              <w:bottom w:val="single" w:color="auto" w:sz="4" w:space="0"/>
              <w:right w:val="single" w:color="auto" w:sz="4" w:space="0"/>
            </w:tcBorders>
            <w:shd w:val="clear" w:color="auto" w:fill="auto"/>
            <w:noWrap/>
            <w:vAlign w:val="center"/>
          </w:tcPr>
          <w:p w14:paraId="153192AE">
            <w:pPr>
              <w:jc w:val="left"/>
              <w:rPr>
                <w:rFonts w:ascii="宋体" w:hAnsi="宋体" w:cs="宋体"/>
              </w:rPr>
            </w:pPr>
            <w:r>
              <w:rPr>
                <w:rFonts w:hint="eastAsia" w:ascii="宋体" w:hAnsi="宋体" w:cs="宋体"/>
              </w:rPr>
              <w:t>安全网</w:t>
            </w:r>
          </w:p>
        </w:tc>
        <w:tc>
          <w:tcPr>
            <w:tcW w:w="1072" w:type="pct"/>
            <w:tcBorders>
              <w:top w:val="nil"/>
              <w:left w:val="nil"/>
              <w:bottom w:val="single" w:color="auto" w:sz="4" w:space="0"/>
              <w:right w:val="single" w:color="auto" w:sz="4" w:space="0"/>
            </w:tcBorders>
            <w:shd w:val="clear" w:color="auto" w:fill="auto"/>
            <w:noWrap/>
            <w:vAlign w:val="center"/>
          </w:tcPr>
          <w:p w14:paraId="406FEC6C">
            <w:pPr>
              <w:jc w:val="center"/>
              <w:rPr>
                <w:rFonts w:ascii="宋体" w:hAnsi="宋体" w:cs="宋体"/>
              </w:rPr>
            </w:pPr>
            <w:r>
              <w:rPr>
                <w:rFonts w:hint="eastAsia" w:ascii="宋体" w:hAnsi="宋体" w:cs="宋体"/>
              </w:rPr>
              <w:t>GB5725-2009</w:t>
            </w:r>
          </w:p>
        </w:tc>
        <w:tc>
          <w:tcPr>
            <w:tcW w:w="792" w:type="pct"/>
            <w:tcBorders>
              <w:top w:val="nil"/>
              <w:left w:val="nil"/>
              <w:bottom w:val="single" w:color="auto" w:sz="4" w:space="0"/>
              <w:right w:val="single" w:color="auto" w:sz="4" w:space="0"/>
            </w:tcBorders>
            <w:shd w:val="clear" w:color="auto" w:fill="auto"/>
            <w:noWrap/>
            <w:vAlign w:val="center"/>
          </w:tcPr>
          <w:p w14:paraId="7E66FD73">
            <w:pPr>
              <w:jc w:val="center"/>
              <w:rPr>
                <w:rFonts w:ascii="宋体" w:hAnsi="宋体" w:cs="宋体"/>
              </w:rPr>
            </w:pPr>
            <w:r>
              <w:rPr>
                <w:rFonts w:hint="eastAsia" w:ascii="宋体" w:hAnsi="宋体" w:cs="宋体"/>
              </w:rPr>
              <w:t>国标</w:t>
            </w:r>
          </w:p>
        </w:tc>
      </w:tr>
      <w:tr w14:paraId="7A12AF1E">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02A1CD31">
            <w:pPr>
              <w:jc w:val="center"/>
              <w:rPr>
                <w:rFonts w:ascii="宋体" w:hAnsi="宋体" w:cs="宋体"/>
              </w:rPr>
            </w:pPr>
            <w:r>
              <w:rPr>
                <w:rFonts w:hint="eastAsia" w:ascii="宋体" w:hAnsi="宋体" w:cs="宋体"/>
              </w:rPr>
              <w:t>10</w:t>
            </w:r>
          </w:p>
        </w:tc>
        <w:tc>
          <w:tcPr>
            <w:tcW w:w="2699" w:type="pct"/>
            <w:tcBorders>
              <w:top w:val="nil"/>
              <w:left w:val="nil"/>
              <w:bottom w:val="single" w:color="auto" w:sz="4" w:space="0"/>
              <w:right w:val="single" w:color="auto" w:sz="4" w:space="0"/>
            </w:tcBorders>
            <w:shd w:val="clear" w:color="auto" w:fill="auto"/>
            <w:noWrap/>
            <w:vAlign w:val="center"/>
          </w:tcPr>
          <w:p w14:paraId="65D9836C">
            <w:pPr>
              <w:jc w:val="left"/>
              <w:rPr>
                <w:rFonts w:ascii="宋体" w:hAnsi="宋体" w:cs="宋体"/>
              </w:rPr>
            </w:pPr>
            <w:r>
              <w:rPr>
                <w:rFonts w:hint="eastAsia" w:ascii="宋体" w:hAnsi="宋体" w:cs="宋体"/>
              </w:rPr>
              <w:t>建筑基坑支护技术规程</w:t>
            </w:r>
          </w:p>
        </w:tc>
        <w:tc>
          <w:tcPr>
            <w:tcW w:w="1072" w:type="pct"/>
            <w:tcBorders>
              <w:top w:val="nil"/>
              <w:left w:val="nil"/>
              <w:bottom w:val="single" w:color="auto" w:sz="4" w:space="0"/>
              <w:right w:val="single" w:color="auto" w:sz="4" w:space="0"/>
            </w:tcBorders>
            <w:shd w:val="clear" w:color="auto" w:fill="auto"/>
            <w:noWrap/>
            <w:vAlign w:val="center"/>
          </w:tcPr>
          <w:p w14:paraId="21C46A10">
            <w:pPr>
              <w:jc w:val="center"/>
              <w:rPr>
                <w:rFonts w:ascii="宋体" w:hAnsi="宋体" w:cs="宋体"/>
              </w:rPr>
            </w:pPr>
            <w:r>
              <w:rPr>
                <w:rFonts w:hint="eastAsia" w:ascii="宋体" w:hAnsi="宋体" w:cs="宋体"/>
              </w:rPr>
              <w:t>JGJ120-2012</w:t>
            </w:r>
          </w:p>
        </w:tc>
        <w:tc>
          <w:tcPr>
            <w:tcW w:w="792" w:type="pct"/>
            <w:tcBorders>
              <w:top w:val="nil"/>
              <w:left w:val="nil"/>
              <w:bottom w:val="single" w:color="auto" w:sz="4" w:space="0"/>
              <w:right w:val="single" w:color="auto" w:sz="4" w:space="0"/>
            </w:tcBorders>
            <w:shd w:val="clear" w:color="auto" w:fill="auto"/>
            <w:noWrap/>
            <w:vAlign w:val="center"/>
          </w:tcPr>
          <w:p w14:paraId="62A851FA">
            <w:pPr>
              <w:jc w:val="center"/>
              <w:rPr>
                <w:rFonts w:ascii="宋体" w:hAnsi="宋体" w:cs="宋体"/>
              </w:rPr>
            </w:pPr>
            <w:r>
              <w:rPr>
                <w:rFonts w:hint="eastAsia" w:ascii="宋体" w:hAnsi="宋体" w:cs="宋体"/>
              </w:rPr>
              <w:t>部标</w:t>
            </w:r>
          </w:p>
        </w:tc>
      </w:tr>
      <w:tr w14:paraId="2688C6DB">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44003612">
            <w:pPr>
              <w:jc w:val="center"/>
              <w:rPr>
                <w:rFonts w:ascii="宋体" w:hAnsi="宋体" w:cs="宋体"/>
              </w:rPr>
            </w:pPr>
            <w:r>
              <w:rPr>
                <w:rFonts w:hint="eastAsia" w:ascii="宋体" w:hAnsi="宋体" w:cs="宋体"/>
              </w:rPr>
              <w:t>11</w:t>
            </w:r>
          </w:p>
        </w:tc>
        <w:tc>
          <w:tcPr>
            <w:tcW w:w="2699" w:type="pct"/>
            <w:tcBorders>
              <w:top w:val="nil"/>
              <w:left w:val="nil"/>
              <w:bottom w:val="single" w:color="auto" w:sz="4" w:space="0"/>
              <w:right w:val="single" w:color="auto" w:sz="4" w:space="0"/>
            </w:tcBorders>
            <w:shd w:val="clear" w:color="auto" w:fill="auto"/>
            <w:noWrap/>
            <w:vAlign w:val="center"/>
          </w:tcPr>
          <w:p w14:paraId="434D514B">
            <w:pPr>
              <w:jc w:val="left"/>
              <w:rPr>
                <w:rFonts w:ascii="宋体" w:hAnsi="宋体" w:cs="宋体"/>
              </w:rPr>
            </w:pPr>
            <w:r>
              <w:rPr>
                <w:rFonts w:hint="eastAsia" w:ascii="宋体" w:hAnsi="宋体" w:cs="宋体"/>
              </w:rPr>
              <w:t>高处作业吊篮安全规则</w:t>
            </w:r>
          </w:p>
        </w:tc>
        <w:tc>
          <w:tcPr>
            <w:tcW w:w="1072" w:type="pct"/>
            <w:tcBorders>
              <w:top w:val="nil"/>
              <w:left w:val="nil"/>
              <w:bottom w:val="single" w:color="auto" w:sz="4" w:space="0"/>
              <w:right w:val="single" w:color="auto" w:sz="4" w:space="0"/>
            </w:tcBorders>
            <w:shd w:val="clear" w:color="auto" w:fill="auto"/>
            <w:noWrap/>
            <w:vAlign w:val="center"/>
          </w:tcPr>
          <w:p w14:paraId="5E111441">
            <w:pPr>
              <w:jc w:val="center"/>
              <w:rPr>
                <w:rFonts w:ascii="宋体" w:hAnsi="宋体" w:cs="宋体"/>
              </w:rPr>
            </w:pPr>
            <w:r>
              <w:rPr>
                <w:rFonts w:hint="eastAsia" w:ascii="宋体" w:hAnsi="宋体" w:cs="宋体"/>
              </w:rPr>
              <w:t>GB19155-2003</w:t>
            </w:r>
          </w:p>
        </w:tc>
        <w:tc>
          <w:tcPr>
            <w:tcW w:w="792" w:type="pct"/>
            <w:tcBorders>
              <w:top w:val="nil"/>
              <w:left w:val="nil"/>
              <w:bottom w:val="single" w:color="auto" w:sz="4" w:space="0"/>
              <w:right w:val="single" w:color="auto" w:sz="4" w:space="0"/>
            </w:tcBorders>
            <w:shd w:val="clear" w:color="auto" w:fill="auto"/>
            <w:noWrap/>
            <w:vAlign w:val="center"/>
          </w:tcPr>
          <w:p w14:paraId="1921D609">
            <w:pPr>
              <w:jc w:val="center"/>
              <w:rPr>
                <w:rFonts w:ascii="宋体" w:hAnsi="宋体" w:cs="宋体"/>
              </w:rPr>
            </w:pPr>
            <w:r>
              <w:rPr>
                <w:rFonts w:hint="eastAsia" w:ascii="宋体" w:hAnsi="宋体" w:cs="宋体"/>
              </w:rPr>
              <w:t>国标</w:t>
            </w:r>
          </w:p>
        </w:tc>
      </w:tr>
      <w:tr w14:paraId="027AC63F">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479B06E8">
            <w:pPr>
              <w:jc w:val="center"/>
              <w:rPr>
                <w:rFonts w:ascii="宋体" w:hAnsi="宋体" w:cs="宋体"/>
              </w:rPr>
            </w:pPr>
            <w:r>
              <w:rPr>
                <w:rFonts w:hint="eastAsia" w:ascii="宋体" w:hAnsi="宋体" w:cs="宋体"/>
              </w:rPr>
              <w:t>12</w:t>
            </w:r>
          </w:p>
        </w:tc>
        <w:tc>
          <w:tcPr>
            <w:tcW w:w="2699" w:type="pct"/>
            <w:tcBorders>
              <w:top w:val="nil"/>
              <w:left w:val="nil"/>
              <w:bottom w:val="single" w:color="auto" w:sz="4" w:space="0"/>
              <w:right w:val="single" w:color="auto" w:sz="4" w:space="0"/>
            </w:tcBorders>
            <w:shd w:val="clear" w:color="auto" w:fill="auto"/>
            <w:noWrap/>
            <w:vAlign w:val="center"/>
          </w:tcPr>
          <w:p w14:paraId="4589738A">
            <w:pPr>
              <w:jc w:val="left"/>
              <w:rPr>
                <w:rFonts w:ascii="宋体" w:hAnsi="宋体" w:cs="宋体"/>
              </w:rPr>
            </w:pPr>
            <w:r>
              <w:rPr>
                <w:rFonts w:hint="eastAsia" w:ascii="宋体" w:hAnsi="宋体" w:cs="宋体"/>
              </w:rPr>
              <w:t>建筑机械使用安全技术规程</w:t>
            </w:r>
          </w:p>
        </w:tc>
        <w:tc>
          <w:tcPr>
            <w:tcW w:w="1072" w:type="pct"/>
            <w:tcBorders>
              <w:top w:val="nil"/>
              <w:left w:val="nil"/>
              <w:bottom w:val="single" w:color="auto" w:sz="4" w:space="0"/>
              <w:right w:val="single" w:color="auto" w:sz="4" w:space="0"/>
            </w:tcBorders>
            <w:shd w:val="clear" w:color="auto" w:fill="auto"/>
            <w:noWrap/>
            <w:vAlign w:val="center"/>
          </w:tcPr>
          <w:p w14:paraId="4C217C9F">
            <w:pPr>
              <w:jc w:val="center"/>
              <w:rPr>
                <w:rFonts w:ascii="宋体" w:hAnsi="宋体" w:cs="宋体"/>
              </w:rPr>
            </w:pPr>
            <w:r>
              <w:rPr>
                <w:rFonts w:hint="eastAsia" w:ascii="宋体" w:hAnsi="宋体" w:cs="宋体"/>
              </w:rPr>
              <w:t>JGJ33-2012</w:t>
            </w:r>
          </w:p>
        </w:tc>
        <w:tc>
          <w:tcPr>
            <w:tcW w:w="792" w:type="pct"/>
            <w:tcBorders>
              <w:top w:val="nil"/>
              <w:left w:val="nil"/>
              <w:bottom w:val="single" w:color="auto" w:sz="4" w:space="0"/>
              <w:right w:val="single" w:color="auto" w:sz="4" w:space="0"/>
            </w:tcBorders>
            <w:shd w:val="clear" w:color="auto" w:fill="auto"/>
            <w:noWrap/>
            <w:vAlign w:val="center"/>
          </w:tcPr>
          <w:p w14:paraId="707B73AC">
            <w:pPr>
              <w:jc w:val="center"/>
              <w:rPr>
                <w:rFonts w:ascii="宋体" w:hAnsi="宋体" w:cs="宋体"/>
              </w:rPr>
            </w:pPr>
            <w:r>
              <w:rPr>
                <w:rFonts w:hint="eastAsia" w:ascii="宋体" w:hAnsi="宋体" w:cs="宋体"/>
              </w:rPr>
              <w:t>部标</w:t>
            </w:r>
          </w:p>
        </w:tc>
      </w:tr>
      <w:tr w14:paraId="6FAE8538">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32081412">
            <w:pPr>
              <w:jc w:val="center"/>
              <w:rPr>
                <w:rFonts w:ascii="宋体" w:hAnsi="宋体" w:cs="宋体"/>
              </w:rPr>
            </w:pPr>
            <w:r>
              <w:rPr>
                <w:rFonts w:hint="eastAsia" w:ascii="宋体" w:hAnsi="宋体" w:cs="宋体"/>
              </w:rPr>
              <w:t>13</w:t>
            </w:r>
          </w:p>
        </w:tc>
        <w:tc>
          <w:tcPr>
            <w:tcW w:w="2699" w:type="pct"/>
            <w:tcBorders>
              <w:top w:val="nil"/>
              <w:left w:val="nil"/>
              <w:bottom w:val="single" w:color="auto" w:sz="4" w:space="0"/>
              <w:right w:val="single" w:color="auto" w:sz="4" w:space="0"/>
            </w:tcBorders>
            <w:shd w:val="clear" w:color="auto" w:fill="auto"/>
            <w:noWrap/>
            <w:vAlign w:val="center"/>
          </w:tcPr>
          <w:p w14:paraId="2F840395">
            <w:pPr>
              <w:jc w:val="left"/>
              <w:rPr>
                <w:rFonts w:ascii="宋体" w:hAnsi="宋体" w:cs="宋体"/>
              </w:rPr>
            </w:pPr>
            <w:r>
              <w:rPr>
                <w:rFonts w:hint="eastAsia" w:ascii="宋体" w:hAnsi="宋体" w:cs="宋体"/>
              </w:rPr>
              <w:t>起重机械安全规程</w:t>
            </w:r>
          </w:p>
        </w:tc>
        <w:tc>
          <w:tcPr>
            <w:tcW w:w="1072" w:type="pct"/>
            <w:tcBorders>
              <w:top w:val="nil"/>
              <w:left w:val="nil"/>
              <w:bottom w:val="single" w:color="auto" w:sz="4" w:space="0"/>
              <w:right w:val="single" w:color="auto" w:sz="4" w:space="0"/>
            </w:tcBorders>
            <w:shd w:val="clear" w:color="auto" w:fill="auto"/>
            <w:noWrap/>
            <w:vAlign w:val="center"/>
          </w:tcPr>
          <w:p w14:paraId="3A9943E0">
            <w:pPr>
              <w:jc w:val="center"/>
              <w:rPr>
                <w:rFonts w:ascii="宋体" w:hAnsi="宋体" w:cs="宋体"/>
              </w:rPr>
            </w:pPr>
            <w:r>
              <w:rPr>
                <w:rFonts w:hint="eastAsia" w:ascii="宋体" w:hAnsi="宋体" w:cs="宋体"/>
              </w:rPr>
              <w:t>GB6067.1-2010</w:t>
            </w:r>
          </w:p>
        </w:tc>
        <w:tc>
          <w:tcPr>
            <w:tcW w:w="792" w:type="pct"/>
            <w:tcBorders>
              <w:top w:val="nil"/>
              <w:left w:val="nil"/>
              <w:bottom w:val="single" w:color="auto" w:sz="4" w:space="0"/>
              <w:right w:val="single" w:color="auto" w:sz="4" w:space="0"/>
            </w:tcBorders>
            <w:shd w:val="clear" w:color="auto" w:fill="auto"/>
            <w:noWrap/>
            <w:vAlign w:val="center"/>
          </w:tcPr>
          <w:p w14:paraId="34227545">
            <w:pPr>
              <w:jc w:val="center"/>
              <w:rPr>
                <w:rFonts w:ascii="宋体" w:hAnsi="宋体" w:cs="宋体"/>
              </w:rPr>
            </w:pPr>
            <w:r>
              <w:rPr>
                <w:rFonts w:hint="eastAsia" w:ascii="宋体" w:hAnsi="宋体" w:cs="宋体"/>
              </w:rPr>
              <w:t>国标</w:t>
            </w:r>
          </w:p>
        </w:tc>
      </w:tr>
      <w:tr w14:paraId="5D8DC68E">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2183650A">
            <w:pPr>
              <w:jc w:val="center"/>
              <w:rPr>
                <w:rFonts w:ascii="宋体" w:hAnsi="宋体" w:cs="宋体"/>
              </w:rPr>
            </w:pPr>
            <w:r>
              <w:rPr>
                <w:rFonts w:hint="eastAsia" w:ascii="宋体" w:hAnsi="宋体" w:cs="宋体"/>
              </w:rPr>
              <w:t>14</w:t>
            </w:r>
          </w:p>
        </w:tc>
        <w:tc>
          <w:tcPr>
            <w:tcW w:w="2699" w:type="pct"/>
            <w:tcBorders>
              <w:top w:val="nil"/>
              <w:left w:val="nil"/>
              <w:bottom w:val="single" w:color="auto" w:sz="4" w:space="0"/>
              <w:right w:val="single" w:color="auto" w:sz="4" w:space="0"/>
            </w:tcBorders>
            <w:shd w:val="clear" w:color="auto" w:fill="auto"/>
            <w:noWrap/>
            <w:vAlign w:val="center"/>
          </w:tcPr>
          <w:p w14:paraId="6044C6C3">
            <w:pPr>
              <w:jc w:val="left"/>
              <w:rPr>
                <w:rFonts w:ascii="宋体" w:hAnsi="宋体" w:cs="宋体"/>
              </w:rPr>
            </w:pPr>
            <w:r>
              <w:rPr>
                <w:rFonts w:hint="eastAsia" w:ascii="宋体" w:hAnsi="宋体" w:cs="宋体"/>
              </w:rPr>
              <w:t>塔式起重机安全规程</w:t>
            </w:r>
          </w:p>
        </w:tc>
        <w:tc>
          <w:tcPr>
            <w:tcW w:w="1072" w:type="pct"/>
            <w:tcBorders>
              <w:top w:val="nil"/>
              <w:left w:val="nil"/>
              <w:bottom w:val="single" w:color="auto" w:sz="4" w:space="0"/>
              <w:right w:val="single" w:color="auto" w:sz="4" w:space="0"/>
            </w:tcBorders>
            <w:shd w:val="clear" w:color="auto" w:fill="auto"/>
            <w:noWrap/>
            <w:vAlign w:val="center"/>
          </w:tcPr>
          <w:p w14:paraId="5AF58F98">
            <w:pPr>
              <w:jc w:val="center"/>
              <w:rPr>
                <w:rFonts w:ascii="宋体" w:hAnsi="宋体" w:cs="宋体"/>
              </w:rPr>
            </w:pPr>
            <w:r>
              <w:rPr>
                <w:rFonts w:hint="eastAsia" w:ascii="宋体" w:hAnsi="宋体" w:cs="宋体"/>
              </w:rPr>
              <w:t>GB5144-2006</w:t>
            </w:r>
          </w:p>
        </w:tc>
        <w:tc>
          <w:tcPr>
            <w:tcW w:w="792" w:type="pct"/>
            <w:tcBorders>
              <w:top w:val="nil"/>
              <w:left w:val="nil"/>
              <w:bottom w:val="single" w:color="auto" w:sz="4" w:space="0"/>
              <w:right w:val="single" w:color="auto" w:sz="4" w:space="0"/>
            </w:tcBorders>
            <w:shd w:val="clear" w:color="auto" w:fill="auto"/>
            <w:noWrap/>
            <w:vAlign w:val="center"/>
          </w:tcPr>
          <w:p w14:paraId="6D2DAE86">
            <w:pPr>
              <w:jc w:val="center"/>
              <w:rPr>
                <w:rFonts w:ascii="宋体" w:hAnsi="宋体" w:cs="宋体"/>
              </w:rPr>
            </w:pPr>
            <w:r>
              <w:rPr>
                <w:rFonts w:hint="eastAsia" w:ascii="宋体" w:hAnsi="宋体" w:cs="宋体"/>
              </w:rPr>
              <w:t>国标</w:t>
            </w:r>
          </w:p>
        </w:tc>
      </w:tr>
      <w:tr w14:paraId="6F62CFE9">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228CD8A8">
            <w:pPr>
              <w:jc w:val="center"/>
              <w:rPr>
                <w:rFonts w:ascii="宋体" w:hAnsi="宋体" w:cs="宋体"/>
              </w:rPr>
            </w:pPr>
            <w:r>
              <w:rPr>
                <w:rFonts w:hint="eastAsia" w:ascii="宋体" w:hAnsi="宋体" w:cs="宋体"/>
              </w:rPr>
              <w:t>15</w:t>
            </w:r>
          </w:p>
        </w:tc>
        <w:tc>
          <w:tcPr>
            <w:tcW w:w="2699" w:type="pct"/>
            <w:tcBorders>
              <w:top w:val="nil"/>
              <w:left w:val="nil"/>
              <w:bottom w:val="single" w:color="auto" w:sz="4" w:space="0"/>
              <w:right w:val="single" w:color="auto" w:sz="4" w:space="0"/>
            </w:tcBorders>
            <w:shd w:val="clear" w:color="auto" w:fill="auto"/>
            <w:noWrap/>
            <w:vAlign w:val="center"/>
          </w:tcPr>
          <w:p w14:paraId="60342187">
            <w:pPr>
              <w:jc w:val="left"/>
              <w:rPr>
                <w:rFonts w:ascii="宋体" w:hAnsi="宋体" w:cs="宋体"/>
              </w:rPr>
            </w:pPr>
            <w:r>
              <w:rPr>
                <w:rFonts w:hint="eastAsia" w:ascii="宋体" w:hAnsi="宋体" w:cs="宋体"/>
              </w:rPr>
              <w:t>建筑卷扬机安全规程</w:t>
            </w:r>
          </w:p>
        </w:tc>
        <w:tc>
          <w:tcPr>
            <w:tcW w:w="1072" w:type="pct"/>
            <w:tcBorders>
              <w:top w:val="nil"/>
              <w:left w:val="nil"/>
              <w:bottom w:val="single" w:color="auto" w:sz="4" w:space="0"/>
              <w:right w:val="single" w:color="auto" w:sz="4" w:space="0"/>
            </w:tcBorders>
            <w:shd w:val="clear" w:color="auto" w:fill="auto"/>
            <w:noWrap/>
            <w:vAlign w:val="center"/>
          </w:tcPr>
          <w:p w14:paraId="4DD638EC">
            <w:pPr>
              <w:jc w:val="center"/>
              <w:rPr>
                <w:rFonts w:ascii="宋体" w:hAnsi="宋体" w:cs="宋体"/>
              </w:rPr>
            </w:pPr>
            <w:r>
              <w:rPr>
                <w:rFonts w:hint="eastAsia" w:ascii="宋体" w:hAnsi="宋体" w:cs="宋体"/>
              </w:rPr>
              <w:t>GB/T1955-2002</w:t>
            </w:r>
          </w:p>
        </w:tc>
        <w:tc>
          <w:tcPr>
            <w:tcW w:w="792" w:type="pct"/>
            <w:tcBorders>
              <w:top w:val="nil"/>
              <w:left w:val="nil"/>
              <w:bottom w:val="single" w:color="auto" w:sz="4" w:space="0"/>
              <w:right w:val="single" w:color="auto" w:sz="4" w:space="0"/>
            </w:tcBorders>
            <w:shd w:val="clear" w:color="auto" w:fill="auto"/>
            <w:noWrap/>
            <w:vAlign w:val="center"/>
          </w:tcPr>
          <w:p w14:paraId="6592EF41">
            <w:pPr>
              <w:jc w:val="center"/>
              <w:rPr>
                <w:rFonts w:ascii="宋体" w:hAnsi="宋体" w:cs="宋体"/>
              </w:rPr>
            </w:pPr>
            <w:r>
              <w:rPr>
                <w:rFonts w:hint="eastAsia" w:ascii="宋体" w:hAnsi="宋体" w:cs="宋体"/>
              </w:rPr>
              <w:t>国标</w:t>
            </w:r>
          </w:p>
        </w:tc>
      </w:tr>
      <w:tr w14:paraId="74177C63">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7887F1E4">
            <w:pPr>
              <w:jc w:val="center"/>
              <w:rPr>
                <w:rFonts w:ascii="宋体" w:hAnsi="宋体" w:cs="宋体"/>
              </w:rPr>
            </w:pPr>
            <w:r>
              <w:rPr>
                <w:rFonts w:hint="eastAsia" w:ascii="宋体" w:hAnsi="宋体" w:cs="宋体"/>
              </w:rPr>
              <w:t>16</w:t>
            </w:r>
          </w:p>
        </w:tc>
        <w:tc>
          <w:tcPr>
            <w:tcW w:w="2699" w:type="pct"/>
            <w:tcBorders>
              <w:top w:val="nil"/>
              <w:left w:val="nil"/>
              <w:bottom w:val="single" w:color="auto" w:sz="4" w:space="0"/>
              <w:right w:val="single" w:color="auto" w:sz="4" w:space="0"/>
            </w:tcBorders>
            <w:shd w:val="clear" w:color="auto" w:fill="auto"/>
            <w:noWrap/>
            <w:vAlign w:val="center"/>
          </w:tcPr>
          <w:p w14:paraId="0DFBCB3E">
            <w:pPr>
              <w:jc w:val="left"/>
              <w:rPr>
                <w:rFonts w:ascii="宋体" w:hAnsi="宋体" w:cs="宋体"/>
              </w:rPr>
            </w:pPr>
            <w:r>
              <w:rPr>
                <w:rFonts w:hint="eastAsia" w:ascii="宋体" w:hAnsi="宋体" w:cs="宋体"/>
              </w:rPr>
              <w:t>施工现场机械设备检查技术规程</w:t>
            </w:r>
          </w:p>
        </w:tc>
        <w:tc>
          <w:tcPr>
            <w:tcW w:w="1072" w:type="pct"/>
            <w:tcBorders>
              <w:top w:val="nil"/>
              <w:left w:val="nil"/>
              <w:bottom w:val="single" w:color="auto" w:sz="4" w:space="0"/>
              <w:right w:val="single" w:color="auto" w:sz="4" w:space="0"/>
            </w:tcBorders>
            <w:shd w:val="clear" w:color="auto" w:fill="auto"/>
            <w:noWrap/>
            <w:vAlign w:val="center"/>
          </w:tcPr>
          <w:p w14:paraId="22DD269A">
            <w:pPr>
              <w:jc w:val="center"/>
              <w:rPr>
                <w:rFonts w:ascii="宋体" w:hAnsi="宋体" w:cs="宋体"/>
              </w:rPr>
            </w:pPr>
            <w:r>
              <w:rPr>
                <w:rFonts w:hint="eastAsia" w:ascii="宋体" w:hAnsi="宋体" w:cs="宋体"/>
              </w:rPr>
              <w:t>JGJ160-2008</w:t>
            </w:r>
          </w:p>
        </w:tc>
        <w:tc>
          <w:tcPr>
            <w:tcW w:w="792" w:type="pct"/>
            <w:tcBorders>
              <w:top w:val="nil"/>
              <w:left w:val="nil"/>
              <w:bottom w:val="single" w:color="auto" w:sz="4" w:space="0"/>
              <w:right w:val="single" w:color="auto" w:sz="4" w:space="0"/>
            </w:tcBorders>
            <w:shd w:val="clear" w:color="auto" w:fill="auto"/>
            <w:noWrap/>
            <w:vAlign w:val="center"/>
          </w:tcPr>
          <w:p w14:paraId="78FB241E">
            <w:pPr>
              <w:jc w:val="center"/>
              <w:rPr>
                <w:rFonts w:ascii="宋体" w:hAnsi="宋体" w:cs="宋体"/>
              </w:rPr>
            </w:pPr>
            <w:r>
              <w:rPr>
                <w:rFonts w:hint="eastAsia" w:ascii="宋体" w:hAnsi="宋体" w:cs="宋体"/>
              </w:rPr>
              <w:t>部标</w:t>
            </w:r>
          </w:p>
        </w:tc>
      </w:tr>
      <w:tr w14:paraId="00DDFFB7">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3A3502EE">
            <w:pPr>
              <w:jc w:val="center"/>
              <w:rPr>
                <w:rFonts w:ascii="宋体" w:hAnsi="宋体" w:cs="宋体"/>
              </w:rPr>
            </w:pPr>
            <w:r>
              <w:rPr>
                <w:rFonts w:hint="eastAsia" w:ascii="宋体" w:hAnsi="宋体" w:cs="宋体"/>
              </w:rPr>
              <w:t>17</w:t>
            </w:r>
          </w:p>
        </w:tc>
        <w:tc>
          <w:tcPr>
            <w:tcW w:w="2699" w:type="pct"/>
            <w:tcBorders>
              <w:top w:val="nil"/>
              <w:left w:val="nil"/>
              <w:bottom w:val="single" w:color="auto" w:sz="4" w:space="0"/>
              <w:right w:val="single" w:color="auto" w:sz="4" w:space="0"/>
            </w:tcBorders>
            <w:shd w:val="clear" w:color="auto" w:fill="auto"/>
            <w:noWrap/>
            <w:vAlign w:val="center"/>
          </w:tcPr>
          <w:p w14:paraId="44AA7CA4">
            <w:pPr>
              <w:jc w:val="left"/>
              <w:rPr>
                <w:rFonts w:ascii="宋体" w:hAnsi="宋体" w:cs="宋体"/>
              </w:rPr>
            </w:pPr>
            <w:r>
              <w:rPr>
                <w:rFonts w:hint="eastAsia" w:ascii="宋体" w:hAnsi="宋体" w:cs="宋体"/>
              </w:rPr>
              <w:t>建筑施工模板安全技术规范</w:t>
            </w:r>
          </w:p>
        </w:tc>
        <w:tc>
          <w:tcPr>
            <w:tcW w:w="1072" w:type="pct"/>
            <w:tcBorders>
              <w:top w:val="nil"/>
              <w:left w:val="nil"/>
              <w:bottom w:val="single" w:color="auto" w:sz="4" w:space="0"/>
              <w:right w:val="single" w:color="auto" w:sz="4" w:space="0"/>
            </w:tcBorders>
            <w:shd w:val="clear" w:color="auto" w:fill="auto"/>
            <w:noWrap/>
            <w:vAlign w:val="center"/>
          </w:tcPr>
          <w:p w14:paraId="7733DB06">
            <w:pPr>
              <w:jc w:val="center"/>
              <w:rPr>
                <w:rFonts w:ascii="宋体" w:hAnsi="宋体" w:cs="宋体"/>
              </w:rPr>
            </w:pPr>
            <w:r>
              <w:rPr>
                <w:rFonts w:hint="eastAsia" w:ascii="宋体" w:hAnsi="宋体" w:cs="宋体"/>
              </w:rPr>
              <w:t>JGJ162-2008</w:t>
            </w:r>
          </w:p>
        </w:tc>
        <w:tc>
          <w:tcPr>
            <w:tcW w:w="792" w:type="pct"/>
            <w:tcBorders>
              <w:top w:val="nil"/>
              <w:left w:val="nil"/>
              <w:bottom w:val="single" w:color="auto" w:sz="4" w:space="0"/>
              <w:right w:val="single" w:color="auto" w:sz="4" w:space="0"/>
            </w:tcBorders>
            <w:shd w:val="clear" w:color="auto" w:fill="auto"/>
            <w:noWrap/>
            <w:vAlign w:val="center"/>
          </w:tcPr>
          <w:p w14:paraId="78897EF4">
            <w:pPr>
              <w:jc w:val="center"/>
              <w:rPr>
                <w:rFonts w:ascii="宋体" w:hAnsi="宋体" w:cs="宋体"/>
              </w:rPr>
            </w:pPr>
            <w:r>
              <w:rPr>
                <w:rFonts w:hint="eastAsia" w:ascii="宋体" w:hAnsi="宋体" w:cs="宋体"/>
              </w:rPr>
              <w:t>部标</w:t>
            </w:r>
          </w:p>
        </w:tc>
      </w:tr>
      <w:tr w14:paraId="31C3AE83">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5FF4B328">
            <w:pPr>
              <w:jc w:val="center"/>
              <w:rPr>
                <w:rFonts w:ascii="宋体" w:hAnsi="宋体" w:cs="宋体"/>
              </w:rPr>
            </w:pPr>
            <w:r>
              <w:rPr>
                <w:rFonts w:hint="eastAsia" w:ascii="宋体" w:hAnsi="宋体" w:cs="宋体"/>
              </w:rPr>
              <w:t>18</w:t>
            </w:r>
          </w:p>
        </w:tc>
        <w:tc>
          <w:tcPr>
            <w:tcW w:w="2699" w:type="pct"/>
            <w:tcBorders>
              <w:top w:val="nil"/>
              <w:left w:val="nil"/>
              <w:bottom w:val="single" w:color="auto" w:sz="4" w:space="0"/>
              <w:right w:val="single" w:color="auto" w:sz="4" w:space="0"/>
            </w:tcBorders>
            <w:shd w:val="clear" w:color="auto" w:fill="auto"/>
            <w:noWrap/>
            <w:vAlign w:val="center"/>
          </w:tcPr>
          <w:p w14:paraId="1FB1E22D">
            <w:pPr>
              <w:jc w:val="left"/>
              <w:rPr>
                <w:rFonts w:ascii="宋体" w:hAnsi="宋体" w:cs="宋体"/>
              </w:rPr>
            </w:pPr>
            <w:r>
              <w:rPr>
                <w:rFonts w:hint="eastAsia" w:ascii="宋体" w:hAnsi="宋体" w:cs="宋体"/>
              </w:rPr>
              <w:t>建筑施工现场环境与卫生标准</w:t>
            </w:r>
          </w:p>
        </w:tc>
        <w:tc>
          <w:tcPr>
            <w:tcW w:w="1072" w:type="pct"/>
            <w:tcBorders>
              <w:top w:val="nil"/>
              <w:left w:val="nil"/>
              <w:bottom w:val="single" w:color="auto" w:sz="4" w:space="0"/>
              <w:right w:val="single" w:color="auto" w:sz="4" w:space="0"/>
            </w:tcBorders>
            <w:shd w:val="clear" w:color="auto" w:fill="auto"/>
            <w:noWrap/>
            <w:vAlign w:val="center"/>
          </w:tcPr>
          <w:p w14:paraId="76545827">
            <w:pPr>
              <w:jc w:val="center"/>
              <w:rPr>
                <w:rFonts w:ascii="宋体" w:hAnsi="宋体" w:cs="宋体"/>
              </w:rPr>
            </w:pPr>
            <w:r>
              <w:rPr>
                <w:rFonts w:hint="eastAsia" w:ascii="宋体" w:hAnsi="宋体" w:cs="宋体"/>
              </w:rPr>
              <w:t>JGJ146-2004</w:t>
            </w:r>
          </w:p>
        </w:tc>
        <w:tc>
          <w:tcPr>
            <w:tcW w:w="792" w:type="pct"/>
            <w:tcBorders>
              <w:top w:val="nil"/>
              <w:left w:val="nil"/>
              <w:bottom w:val="single" w:color="auto" w:sz="4" w:space="0"/>
              <w:right w:val="single" w:color="auto" w:sz="4" w:space="0"/>
            </w:tcBorders>
            <w:shd w:val="clear" w:color="auto" w:fill="auto"/>
            <w:noWrap/>
            <w:vAlign w:val="center"/>
          </w:tcPr>
          <w:p w14:paraId="0F5CB062">
            <w:pPr>
              <w:jc w:val="center"/>
              <w:rPr>
                <w:rFonts w:ascii="宋体" w:hAnsi="宋体" w:cs="宋体"/>
              </w:rPr>
            </w:pPr>
            <w:r>
              <w:rPr>
                <w:rFonts w:hint="eastAsia" w:ascii="宋体" w:hAnsi="宋体" w:cs="宋体"/>
              </w:rPr>
              <w:t>部标</w:t>
            </w:r>
          </w:p>
        </w:tc>
      </w:tr>
      <w:tr w14:paraId="1F3101AB">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6ABAAAF3">
            <w:pPr>
              <w:jc w:val="center"/>
              <w:rPr>
                <w:rFonts w:ascii="宋体" w:hAnsi="宋体" w:cs="宋体"/>
              </w:rPr>
            </w:pPr>
            <w:r>
              <w:rPr>
                <w:rFonts w:hint="eastAsia" w:ascii="宋体" w:hAnsi="宋体" w:cs="宋体"/>
              </w:rPr>
              <w:t>19</w:t>
            </w:r>
          </w:p>
        </w:tc>
        <w:tc>
          <w:tcPr>
            <w:tcW w:w="2699" w:type="pct"/>
            <w:tcBorders>
              <w:top w:val="nil"/>
              <w:left w:val="nil"/>
              <w:bottom w:val="single" w:color="auto" w:sz="4" w:space="0"/>
              <w:right w:val="single" w:color="auto" w:sz="4" w:space="0"/>
            </w:tcBorders>
            <w:shd w:val="clear" w:color="auto" w:fill="auto"/>
            <w:noWrap/>
            <w:vAlign w:val="center"/>
          </w:tcPr>
          <w:p w14:paraId="739EC528">
            <w:pPr>
              <w:jc w:val="left"/>
              <w:rPr>
                <w:rFonts w:ascii="宋体" w:hAnsi="宋体" w:cs="宋体"/>
              </w:rPr>
            </w:pPr>
            <w:r>
              <w:rPr>
                <w:rFonts w:hint="eastAsia" w:ascii="宋体" w:hAnsi="宋体" w:cs="宋体"/>
              </w:rPr>
              <w:t>建筑施工土石方工程安全技术规范</w:t>
            </w:r>
          </w:p>
        </w:tc>
        <w:tc>
          <w:tcPr>
            <w:tcW w:w="1072" w:type="pct"/>
            <w:tcBorders>
              <w:top w:val="nil"/>
              <w:left w:val="nil"/>
              <w:bottom w:val="single" w:color="auto" w:sz="4" w:space="0"/>
              <w:right w:val="single" w:color="auto" w:sz="4" w:space="0"/>
            </w:tcBorders>
            <w:shd w:val="clear" w:color="auto" w:fill="auto"/>
            <w:noWrap/>
            <w:vAlign w:val="center"/>
          </w:tcPr>
          <w:p w14:paraId="60F31042">
            <w:pPr>
              <w:jc w:val="center"/>
              <w:rPr>
                <w:rFonts w:ascii="宋体" w:hAnsi="宋体" w:cs="宋体"/>
              </w:rPr>
            </w:pPr>
            <w:r>
              <w:rPr>
                <w:rFonts w:hint="eastAsia" w:ascii="宋体" w:hAnsi="宋体" w:cs="宋体"/>
              </w:rPr>
              <w:t>JGJ180-2009</w:t>
            </w:r>
          </w:p>
        </w:tc>
        <w:tc>
          <w:tcPr>
            <w:tcW w:w="792" w:type="pct"/>
            <w:tcBorders>
              <w:top w:val="nil"/>
              <w:left w:val="nil"/>
              <w:bottom w:val="single" w:color="auto" w:sz="4" w:space="0"/>
              <w:right w:val="single" w:color="auto" w:sz="4" w:space="0"/>
            </w:tcBorders>
            <w:shd w:val="clear" w:color="auto" w:fill="auto"/>
            <w:noWrap/>
            <w:vAlign w:val="center"/>
          </w:tcPr>
          <w:p w14:paraId="20FC93E3">
            <w:pPr>
              <w:jc w:val="center"/>
              <w:rPr>
                <w:rFonts w:ascii="宋体" w:hAnsi="宋体" w:cs="宋体"/>
              </w:rPr>
            </w:pPr>
            <w:r>
              <w:rPr>
                <w:rFonts w:hint="eastAsia" w:ascii="宋体" w:hAnsi="宋体" w:cs="宋体"/>
              </w:rPr>
              <w:t>部标</w:t>
            </w:r>
          </w:p>
        </w:tc>
      </w:tr>
      <w:tr w14:paraId="4669FF41">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57EA957D">
            <w:pPr>
              <w:jc w:val="center"/>
              <w:rPr>
                <w:rFonts w:ascii="宋体" w:hAnsi="宋体" w:cs="宋体"/>
              </w:rPr>
            </w:pPr>
            <w:r>
              <w:rPr>
                <w:rFonts w:hint="eastAsia" w:ascii="宋体" w:hAnsi="宋体" w:cs="宋体"/>
              </w:rPr>
              <w:t>20</w:t>
            </w:r>
          </w:p>
        </w:tc>
        <w:tc>
          <w:tcPr>
            <w:tcW w:w="2699" w:type="pct"/>
            <w:tcBorders>
              <w:top w:val="nil"/>
              <w:left w:val="nil"/>
              <w:bottom w:val="single" w:color="auto" w:sz="4" w:space="0"/>
              <w:right w:val="single" w:color="auto" w:sz="4" w:space="0"/>
            </w:tcBorders>
            <w:shd w:val="clear" w:color="auto" w:fill="auto"/>
            <w:noWrap/>
            <w:vAlign w:val="center"/>
          </w:tcPr>
          <w:p w14:paraId="67B93D95">
            <w:pPr>
              <w:jc w:val="left"/>
              <w:rPr>
                <w:rFonts w:ascii="宋体" w:hAnsi="宋体" w:cs="宋体"/>
              </w:rPr>
            </w:pPr>
            <w:r>
              <w:rPr>
                <w:rFonts w:hint="eastAsia" w:ascii="宋体" w:hAnsi="宋体" w:cs="宋体"/>
              </w:rPr>
              <w:t>建筑拆除工程安全技术规范</w:t>
            </w:r>
          </w:p>
        </w:tc>
        <w:tc>
          <w:tcPr>
            <w:tcW w:w="1072" w:type="pct"/>
            <w:tcBorders>
              <w:top w:val="nil"/>
              <w:left w:val="nil"/>
              <w:bottom w:val="single" w:color="auto" w:sz="4" w:space="0"/>
              <w:right w:val="single" w:color="auto" w:sz="4" w:space="0"/>
            </w:tcBorders>
            <w:shd w:val="clear" w:color="auto" w:fill="auto"/>
            <w:noWrap/>
            <w:vAlign w:val="center"/>
          </w:tcPr>
          <w:p w14:paraId="7FD9E7B5">
            <w:pPr>
              <w:jc w:val="center"/>
              <w:rPr>
                <w:rFonts w:ascii="宋体" w:hAnsi="宋体" w:cs="宋体"/>
              </w:rPr>
            </w:pPr>
            <w:r>
              <w:rPr>
                <w:rFonts w:hint="eastAsia" w:ascii="宋体" w:hAnsi="宋体" w:cs="宋体"/>
              </w:rPr>
              <w:t>JGJ147-2004</w:t>
            </w:r>
          </w:p>
        </w:tc>
        <w:tc>
          <w:tcPr>
            <w:tcW w:w="792" w:type="pct"/>
            <w:tcBorders>
              <w:top w:val="nil"/>
              <w:left w:val="nil"/>
              <w:bottom w:val="single" w:color="auto" w:sz="4" w:space="0"/>
              <w:right w:val="single" w:color="auto" w:sz="4" w:space="0"/>
            </w:tcBorders>
            <w:shd w:val="clear" w:color="auto" w:fill="auto"/>
            <w:noWrap/>
            <w:vAlign w:val="center"/>
          </w:tcPr>
          <w:p w14:paraId="6E519615">
            <w:pPr>
              <w:jc w:val="center"/>
              <w:rPr>
                <w:rFonts w:ascii="宋体" w:hAnsi="宋体" w:cs="宋体"/>
              </w:rPr>
            </w:pPr>
            <w:r>
              <w:rPr>
                <w:rFonts w:hint="eastAsia" w:ascii="宋体" w:hAnsi="宋体" w:cs="宋体"/>
              </w:rPr>
              <w:t>部标</w:t>
            </w:r>
          </w:p>
        </w:tc>
      </w:tr>
      <w:tr w14:paraId="47F29777">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6E2C5F39">
            <w:pPr>
              <w:jc w:val="center"/>
              <w:rPr>
                <w:rFonts w:ascii="宋体" w:hAnsi="宋体" w:cs="宋体"/>
              </w:rPr>
            </w:pPr>
            <w:r>
              <w:rPr>
                <w:rFonts w:hint="eastAsia" w:ascii="宋体" w:hAnsi="宋体" w:cs="宋体"/>
              </w:rPr>
              <w:t>21</w:t>
            </w:r>
          </w:p>
        </w:tc>
        <w:tc>
          <w:tcPr>
            <w:tcW w:w="2699" w:type="pct"/>
            <w:tcBorders>
              <w:top w:val="nil"/>
              <w:left w:val="nil"/>
              <w:bottom w:val="single" w:color="auto" w:sz="4" w:space="0"/>
              <w:right w:val="single" w:color="auto" w:sz="4" w:space="0"/>
            </w:tcBorders>
            <w:shd w:val="clear" w:color="auto" w:fill="auto"/>
            <w:noWrap/>
            <w:vAlign w:val="center"/>
          </w:tcPr>
          <w:p w14:paraId="32300567">
            <w:pPr>
              <w:jc w:val="left"/>
              <w:rPr>
                <w:rFonts w:ascii="宋体" w:hAnsi="宋体" w:cs="宋体"/>
              </w:rPr>
            </w:pPr>
            <w:r>
              <w:rPr>
                <w:rFonts w:hint="eastAsia" w:ascii="宋体" w:hAnsi="宋体" w:cs="宋体"/>
              </w:rPr>
              <w:t>建筑边坡工程技术规范</w:t>
            </w:r>
          </w:p>
        </w:tc>
        <w:tc>
          <w:tcPr>
            <w:tcW w:w="1072" w:type="pct"/>
            <w:tcBorders>
              <w:top w:val="nil"/>
              <w:left w:val="nil"/>
              <w:bottom w:val="single" w:color="auto" w:sz="4" w:space="0"/>
              <w:right w:val="single" w:color="auto" w:sz="4" w:space="0"/>
            </w:tcBorders>
            <w:shd w:val="clear" w:color="auto" w:fill="auto"/>
            <w:noWrap/>
            <w:vAlign w:val="center"/>
          </w:tcPr>
          <w:p w14:paraId="0CC11F3A">
            <w:pPr>
              <w:jc w:val="center"/>
              <w:rPr>
                <w:rFonts w:ascii="宋体" w:hAnsi="宋体" w:cs="宋体"/>
              </w:rPr>
            </w:pPr>
            <w:r>
              <w:rPr>
                <w:rFonts w:hint="eastAsia" w:ascii="宋体" w:hAnsi="宋体" w:cs="宋体"/>
              </w:rPr>
              <w:t>GB50330-2013</w:t>
            </w:r>
          </w:p>
        </w:tc>
        <w:tc>
          <w:tcPr>
            <w:tcW w:w="792" w:type="pct"/>
            <w:tcBorders>
              <w:top w:val="nil"/>
              <w:left w:val="nil"/>
              <w:bottom w:val="single" w:color="auto" w:sz="4" w:space="0"/>
              <w:right w:val="single" w:color="auto" w:sz="4" w:space="0"/>
            </w:tcBorders>
            <w:shd w:val="clear" w:color="auto" w:fill="auto"/>
            <w:noWrap/>
            <w:vAlign w:val="center"/>
          </w:tcPr>
          <w:p w14:paraId="4825D693">
            <w:pPr>
              <w:jc w:val="center"/>
              <w:rPr>
                <w:rFonts w:ascii="宋体" w:hAnsi="宋体" w:cs="宋体"/>
              </w:rPr>
            </w:pPr>
            <w:r>
              <w:rPr>
                <w:rFonts w:hint="eastAsia" w:ascii="宋体" w:hAnsi="宋体" w:cs="宋体"/>
              </w:rPr>
              <w:t>国标</w:t>
            </w:r>
          </w:p>
        </w:tc>
      </w:tr>
      <w:tr w14:paraId="775B5FA7">
        <w:tblPrEx>
          <w:tblCellMar>
            <w:top w:w="0" w:type="dxa"/>
            <w:left w:w="108" w:type="dxa"/>
            <w:bottom w:w="0" w:type="dxa"/>
            <w:right w:w="108" w:type="dxa"/>
          </w:tblCellMar>
        </w:tblPrEx>
        <w:tc>
          <w:tcPr>
            <w:tcW w:w="437" w:type="pct"/>
            <w:tcBorders>
              <w:top w:val="nil"/>
              <w:left w:val="single" w:color="auto" w:sz="4" w:space="0"/>
              <w:bottom w:val="single" w:color="auto" w:sz="4" w:space="0"/>
              <w:right w:val="single" w:color="auto" w:sz="4" w:space="0"/>
            </w:tcBorders>
            <w:shd w:val="clear" w:color="auto" w:fill="auto"/>
            <w:noWrap/>
            <w:vAlign w:val="center"/>
          </w:tcPr>
          <w:p w14:paraId="7040440B">
            <w:pPr>
              <w:jc w:val="center"/>
              <w:rPr>
                <w:rFonts w:ascii="宋体" w:hAnsi="宋体" w:cs="宋体"/>
              </w:rPr>
            </w:pPr>
            <w:r>
              <w:rPr>
                <w:rFonts w:hint="eastAsia" w:ascii="宋体" w:hAnsi="宋体" w:cs="宋体"/>
              </w:rPr>
              <w:t>22</w:t>
            </w:r>
          </w:p>
        </w:tc>
        <w:tc>
          <w:tcPr>
            <w:tcW w:w="2699" w:type="pct"/>
            <w:tcBorders>
              <w:top w:val="nil"/>
              <w:left w:val="nil"/>
              <w:bottom w:val="single" w:color="auto" w:sz="4" w:space="0"/>
              <w:right w:val="single" w:color="auto" w:sz="4" w:space="0"/>
            </w:tcBorders>
            <w:shd w:val="clear" w:color="auto" w:fill="auto"/>
            <w:noWrap/>
            <w:vAlign w:val="center"/>
          </w:tcPr>
          <w:p w14:paraId="0BACA3C2">
            <w:pPr>
              <w:jc w:val="left"/>
              <w:rPr>
                <w:rFonts w:ascii="宋体" w:hAnsi="宋体" w:cs="宋体"/>
              </w:rPr>
            </w:pPr>
            <w:r>
              <w:rPr>
                <w:rFonts w:hint="eastAsia" w:ascii="宋体" w:hAnsi="宋体" w:cs="宋体"/>
              </w:rPr>
              <w:t>建筑施工脚手架安全技术统一标准</w:t>
            </w:r>
          </w:p>
        </w:tc>
        <w:tc>
          <w:tcPr>
            <w:tcW w:w="1072" w:type="pct"/>
            <w:tcBorders>
              <w:top w:val="nil"/>
              <w:left w:val="nil"/>
              <w:bottom w:val="single" w:color="auto" w:sz="4" w:space="0"/>
              <w:right w:val="single" w:color="auto" w:sz="4" w:space="0"/>
            </w:tcBorders>
            <w:shd w:val="clear" w:color="auto" w:fill="auto"/>
            <w:noWrap/>
            <w:vAlign w:val="center"/>
          </w:tcPr>
          <w:p w14:paraId="642C62D2">
            <w:pPr>
              <w:jc w:val="center"/>
              <w:rPr>
                <w:rFonts w:ascii="宋体" w:hAnsi="宋体" w:cs="宋体"/>
              </w:rPr>
            </w:pPr>
            <w:r>
              <w:rPr>
                <w:rFonts w:hint="eastAsia" w:ascii="宋体" w:hAnsi="宋体" w:cs="宋体"/>
              </w:rPr>
              <w:t>GB51210-2016</w:t>
            </w:r>
          </w:p>
        </w:tc>
        <w:tc>
          <w:tcPr>
            <w:tcW w:w="792" w:type="pct"/>
            <w:tcBorders>
              <w:top w:val="nil"/>
              <w:left w:val="nil"/>
              <w:bottom w:val="single" w:color="auto" w:sz="4" w:space="0"/>
              <w:right w:val="single" w:color="auto" w:sz="4" w:space="0"/>
            </w:tcBorders>
            <w:shd w:val="clear" w:color="auto" w:fill="auto"/>
            <w:noWrap/>
            <w:vAlign w:val="center"/>
          </w:tcPr>
          <w:p w14:paraId="6D90FF86">
            <w:pPr>
              <w:jc w:val="center"/>
              <w:rPr>
                <w:rFonts w:ascii="宋体" w:hAnsi="宋体" w:cs="宋体"/>
              </w:rPr>
            </w:pPr>
            <w:r>
              <w:rPr>
                <w:rFonts w:hint="eastAsia" w:ascii="宋体" w:hAnsi="宋体" w:cs="宋体"/>
              </w:rPr>
              <w:t>国标</w:t>
            </w:r>
          </w:p>
        </w:tc>
      </w:tr>
    </w:tbl>
    <w:p w14:paraId="68B02468"/>
    <w:p w14:paraId="3C173825">
      <w:pPr>
        <w:rPr>
          <w:sz w:val="24"/>
        </w:rPr>
      </w:pPr>
      <w:r>
        <w:rPr>
          <w:rFonts w:hint="eastAsia"/>
          <w:sz w:val="24"/>
        </w:rPr>
        <w:t>二、华新安全制度</w:t>
      </w:r>
    </w:p>
    <w:tbl>
      <w:tblPr>
        <w:tblStyle w:val="23"/>
        <w:tblW w:w="50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5662"/>
        <w:gridCol w:w="2054"/>
      </w:tblGrid>
      <w:tr w14:paraId="74665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blHeader/>
        </w:trPr>
        <w:tc>
          <w:tcPr>
            <w:tcW w:w="373" w:type="pct"/>
            <w:shd w:val="clear" w:color="auto" w:fill="auto"/>
            <w:noWrap/>
            <w:vAlign w:val="bottom"/>
          </w:tcPr>
          <w:p w14:paraId="2282EB00">
            <w:pPr>
              <w:jc w:val="center"/>
              <w:rPr>
                <w:rFonts w:ascii="宋体" w:hAnsi="宋体" w:cs="宋体"/>
                <w:bCs/>
              </w:rPr>
            </w:pPr>
            <w:r>
              <w:rPr>
                <w:rFonts w:hint="eastAsia" w:ascii="宋体" w:hAnsi="宋体" w:cs="宋体"/>
                <w:bCs/>
              </w:rPr>
              <w:t>序号</w:t>
            </w:r>
          </w:p>
        </w:tc>
        <w:tc>
          <w:tcPr>
            <w:tcW w:w="3423" w:type="pct"/>
            <w:shd w:val="clear" w:color="auto" w:fill="auto"/>
            <w:noWrap/>
            <w:vAlign w:val="bottom"/>
          </w:tcPr>
          <w:p w14:paraId="68056596">
            <w:pPr>
              <w:jc w:val="center"/>
              <w:rPr>
                <w:rFonts w:ascii="宋体" w:hAnsi="宋体" w:cs="宋体"/>
                <w:bCs/>
              </w:rPr>
            </w:pPr>
            <w:r>
              <w:rPr>
                <w:rFonts w:hint="eastAsia" w:ascii="宋体" w:hAnsi="宋体" w:cs="宋体"/>
                <w:bCs/>
              </w:rPr>
              <w:t>制度名称</w:t>
            </w:r>
          </w:p>
        </w:tc>
        <w:tc>
          <w:tcPr>
            <w:tcW w:w="1204" w:type="pct"/>
            <w:shd w:val="clear" w:color="auto" w:fill="auto"/>
            <w:noWrap/>
            <w:vAlign w:val="bottom"/>
          </w:tcPr>
          <w:p w14:paraId="1FF5E53A">
            <w:pPr>
              <w:jc w:val="center"/>
              <w:rPr>
                <w:rFonts w:ascii="宋体" w:hAnsi="宋体" w:cs="宋体"/>
                <w:bCs/>
              </w:rPr>
            </w:pPr>
            <w:r>
              <w:rPr>
                <w:rFonts w:hint="eastAsia" w:ascii="宋体" w:hAnsi="宋体" w:cs="宋体"/>
                <w:bCs/>
              </w:rPr>
              <w:t>文号</w:t>
            </w:r>
          </w:p>
        </w:tc>
      </w:tr>
      <w:tr w14:paraId="1212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6CC3F704">
            <w:pPr>
              <w:jc w:val="center"/>
              <w:rPr>
                <w:rFonts w:ascii="宋体" w:hAnsi="宋体" w:cs="宋体"/>
                <w:bCs/>
              </w:rPr>
            </w:pPr>
            <w:r>
              <w:rPr>
                <w:rFonts w:hint="eastAsia" w:ascii="宋体" w:hAnsi="宋体" w:cs="宋体"/>
                <w:bCs/>
              </w:rPr>
              <w:t>1</w:t>
            </w:r>
          </w:p>
        </w:tc>
        <w:tc>
          <w:tcPr>
            <w:tcW w:w="3423" w:type="pct"/>
            <w:shd w:val="clear" w:color="auto" w:fill="auto"/>
            <w:noWrap/>
            <w:vAlign w:val="bottom"/>
          </w:tcPr>
          <w:p w14:paraId="6E56DEF9">
            <w:pPr>
              <w:rPr>
                <w:rFonts w:ascii="宋体" w:hAnsi="宋体" w:cs="宋体"/>
                <w:bCs/>
              </w:rPr>
            </w:pPr>
            <w:r>
              <w:rPr>
                <w:rFonts w:hint="eastAsia" w:ascii="宋体" w:hAnsi="宋体" w:cs="宋体"/>
                <w:bCs/>
              </w:rPr>
              <w:t>华新水泥健康安全管理系统标准</w:t>
            </w:r>
          </w:p>
        </w:tc>
        <w:tc>
          <w:tcPr>
            <w:tcW w:w="1204" w:type="pct"/>
            <w:shd w:val="clear" w:color="auto" w:fill="auto"/>
            <w:noWrap/>
            <w:vAlign w:val="bottom"/>
          </w:tcPr>
          <w:p w14:paraId="2609D3F5">
            <w:pPr>
              <w:rPr>
                <w:rFonts w:ascii="宋体" w:hAnsi="宋体" w:cs="宋体"/>
                <w:bCs/>
              </w:rPr>
            </w:pPr>
            <w:r>
              <w:rPr>
                <w:rFonts w:hint="eastAsia" w:ascii="宋体" w:hAnsi="宋体" w:cs="宋体"/>
                <w:bCs/>
              </w:rPr>
              <w:t>华股办[2016]101号</w:t>
            </w:r>
          </w:p>
        </w:tc>
      </w:tr>
      <w:tr w14:paraId="0382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56E686D4">
            <w:pPr>
              <w:jc w:val="center"/>
              <w:rPr>
                <w:rFonts w:ascii="宋体" w:hAnsi="宋体" w:cs="宋体"/>
                <w:bCs/>
              </w:rPr>
            </w:pPr>
            <w:r>
              <w:rPr>
                <w:rFonts w:hint="eastAsia" w:ascii="宋体" w:hAnsi="宋体" w:cs="宋体"/>
                <w:bCs/>
              </w:rPr>
              <w:t>2</w:t>
            </w:r>
          </w:p>
        </w:tc>
        <w:tc>
          <w:tcPr>
            <w:tcW w:w="3423" w:type="pct"/>
            <w:shd w:val="clear" w:color="auto" w:fill="auto"/>
            <w:noWrap/>
            <w:vAlign w:val="bottom"/>
          </w:tcPr>
          <w:p w14:paraId="72D387BC">
            <w:pPr>
              <w:rPr>
                <w:rFonts w:ascii="宋体" w:hAnsi="宋体" w:cs="宋体"/>
                <w:bCs/>
              </w:rPr>
            </w:pPr>
            <w:r>
              <w:rPr>
                <w:rFonts w:hint="eastAsia" w:ascii="宋体" w:hAnsi="宋体" w:cs="宋体"/>
                <w:bCs/>
              </w:rPr>
              <w:t>华新水泥股份有限公司个人防护用品标准</w:t>
            </w:r>
          </w:p>
        </w:tc>
        <w:tc>
          <w:tcPr>
            <w:tcW w:w="1204" w:type="pct"/>
            <w:shd w:val="clear" w:color="auto" w:fill="auto"/>
            <w:noWrap/>
            <w:vAlign w:val="bottom"/>
          </w:tcPr>
          <w:p w14:paraId="3B08722D">
            <w:pPr>
              <w:rPr>
                <w:rFonts w:ascii="宋体" w:hAnsi="宋体" w:cs="宋体"/>
                <w:bCs/>
              </w:rPr>
            </w:pPr>
            <w:r>
              <w:rPr>
                <w:rFonts w:hint="eastAsia" w:ascii="宋体" w:hAnsi="宋体" w:cs="宋体"/>
                <w:bCs/>
              </w:rPr>
              <w:t>华股办[2017]8号</w:t>
            </w:r>
          </w:p>
        </w:tc>
      </w:tr>
      <w:tr w14:paraId="4794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373" w:type="pct"/>
            <w:shd w:val="clear" w:color="auto" w:fill="auto"/>
            <w:noWrap/>
            <w:vAlign w:val="bottom"/>
          </w:tcPr>
          <w:p w14:paraId="71866E54">
            <w:pPr>
              <w:jc w:val="center"/>
              <w:rPr>
                <w:rFonts w:ascii="宋体" w:hAnsi="宋体" w:cs="宋体"/>
                <w:bCs/>
              </w:rPr>
            </w:pPr>
            <w:r>
              <w:rPr>
                <w:rFonts w:hint="eastAsia" w:ascii="宋体" w:hAnsi="宋体" w:cs="宋体"/>
                <w:bCs/>
              </w:rPr>
              <w:t>3</w:t>
            </w:r>
          </w:p>
        </w:tc>
        <w:tc>
          <w:tcPr>
            <w:tcW w:w="3423" w:type="pct"/>
            <w:shd w:val="clear" w:color="auto" w:fill="auto"/>
            <w:vAlign w:val="bottom"/>
          </w:tcPr>
          <w:p w14:paraId="48F7A054">
            <w:pPr>
              <w:rPr>
                <w:rFonts w:ascii="宋体" w:hAnsi="宋体" w:cs="宋体"/>
                <w:bCs/>
              </w:rPr>
            </w:pPr>
            <w:r>
              <w:rPr>
                <w:rFonts w:hint="eastAsia" w:ascii="宋体" w:hAnsi="宋体" w:cs="宋体"/>
                <w:bCs/>
              </w:rPr>
              <w:t>华新水泥股份有限公司劳动防护用品采购、验收、保管和发放暂行规定（2017年修订稿）</w:t>
            </w:r>
          </w:p>
        </w:tc>
        <w:tc>
          <w:tcPr>
            <w:tcW w:w="1204" w:type="pct"/>
            <w:shd w:val="clear" w:color="auto" w:fill="auto"/>
            <w:noWrap/>
            <w:vAlign w:val="bottom"/>
          </w:tcPr>
          <w:p w14:paraId="1F0B2AE7">
            <w:pPr>
              <w:rPr>
                <w:rFonts w:ascii="宋体" w:hAnsi="宋体" w:cs="宋体"/>
                <w:bCs/>
              </w:rPr>
            </w:pPr>
            <w:r>
              <w:rPr>
                <w:rFonts w:hint="eastAsia" w:ascii="宋体" w:hAnsi="宋体" w:cs="宋体"/>
                <w:bCs/>
              </w:rPr>
              <w:t>华股办[2017]63号</w:t>
            </w:r>
          </w:p>
        </w:tc>
      </w:tr>
      <w:tr w14:paraId="3B7F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1EE63C00">
            <w:pPr>
              <w:jc w:val="center"/>
              <w:rPr>
                <w:rFonts w:ascii="宋体" w:hAnsi="宋体" w:cs="宋体"/>
                <w:bCs/>
              </w:rPr>
            </w:pPr>
            <w:r>
              <w:rPr>
                <w:rFonts w:hint="eastAsia" w:ascii="宋体" w:hAnsi="宋体" w:cs="宋体"/>
                <w:bCs/>
              </w:rPr>
              <w:t>4</w:t>
            </w:r>
          </w:p>
        </w:tc>
        <w:tc>
          <w:tcPr>
            <w:tcW w:w="3423" w:type="pct"/>
            <w:shd w:val="clear" w:color="auto" w:fill="auto"/>
            <w:noWrap/>
            <w:vAlign w:val="bottom"/>
          </w:tcPr>
          <w:p w14:paraId="5FDF5A3E">
            <w:pPr>
              <w:rPr>
                <w:rFonts w:ascii="宋体" w:hAnsi="宋体" w:cs="宋体"/>
                <w:bCs/>
              </w:rPr>
            </w:pPr>
            <w:r>
              <w:rPr>
                <w:rFonts w:hint="eastAsia" w:ascii="宋体" w:hAnsi="宋体" w:cs="宋体"/>
                <w:bCs/>
              </w:rPr>
              <w:t>华新水泥股份有限公司高处作业安全管理制度</w:t>
            </w:r>
          </w:p>
        </w:tc>
        <w:tc>
          <w:tcPr>
            <w:tcW w:w="1204" w:type="pct"/>
            <w:shd w:val="clear" w:color="auto" w:fill="auto"/>
            <w:noWrap/>
            <w:vAlign w:val="bottom"/>
          </w:tcPr>
          <w:p w14:paraId="42FFE8AA">
            <w:pPr>
              <w:rPr>
                <w:rFonts w:ascii="宋体" w:hAnsi="宋体" w:cs="宋体"/>
                <w:bCs/>
              </w:rPr>
            </w:pPr>
            <w:r>
              <w:rPr>
                <w:rFonts w:hint="eastAsia" w:ascii="宋体" w:hAnsi="宋体" w:cs="宋体"/>
                <w:bCs/>
              </w:rPr>
              <w:t>华股办[2017]42号</w:t>
            </w:r>
          </w:p>
        </w:tc>
      </w:tr>
      <w:tr w14:paraId="431F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6013C37B">
            <w:pPr>
              <w:jc w:val="center"/>
              <w:rPr>
                <w:rFonts w:ascii="宋体" w:hAnsi="宋体" w:cs="宋体"/>
                <w:bCs/>
              </w:rPr>
            </w:pPr>
            <w:r>
              <w:rPr>
                <w:rFonts w:hint="eastAsia" w:ascii="宋体" w:hAnsi="宋体" w:cs="宋体"/>
                <w:bCs/>
              </w:rPr>
              <w:t>5</w:t>
            </w:r>
          </w:p>
        </w:tc>
        <w:tc>
          <w:tcPr>
            <w:tcW w:w="3423" w:type="pct"/>
            <w:shd w:val="clear" w:color="auto" w:fill="auto"/>
            <w:noWrap/>
            <w:vAlign w:val="bottom"/>
          </w:tcPr>
          <w:p w14:paraId="7B11112A">
            <w:pPr>
              <w:rPr>
                <w:rFonts w:ascii="宋体" w:hAnsi="宋体" w:cs="宋体"/>
                <w:bCs/>
              </w:rPr>
            </w:pPr>
            <w:r>
              <w:rPr>
                <w:rFonts w:hint="eastAsia" w:ascii="宋体" w:hAnsi="宋体" w:cs="宋体"/>
                <w:bCs/>
              </w:rPr>
              <w:t>华新水泥股份有限公司能量隔离安全管理规定</w:t>
            </w:r>
          </w:p>
        </w:tc>
        <w:tc>
          <w:tcPr>
            <w:tcW w:w="1204" w:type="pct"/>
            <w:shd w:val="clear" w:color="auto" w:fill="auto"/>
            <w:noWrap/>
            <w:vAlign w:val="bottom"/>
          </w:tcPr>
          <w:p w14:paraId="0FADEE2F">
            <w:pPr>
              <w:rPr>
                <w:rFonts w:ascii="宋体" w:hAnsi="宋体" w:cs="宋体"/>
                <w:bCs/>
              </w:rPr>
            </w:pPr>
            <w:r>
              <w:rPr>
                <w:rFonts w:hint="eastAsia" w:ascii="宋体" w:hAnsi="宋体" w:cs="宋体"/>
                <w:bCs/>
              </w:rPr>
              <w:t>华股办[2017]49号</w:t>
            </w:r>
          </w:p>
        </w:tc>
      </w:tr>
      <w:tr w14:paraId="29E9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6839CAC2">
            <w:pPr>
              <w:jc w:val="center"/>
              <w:rPr>
                <w:rFonts w:ascii="宋体" w:hAnsi="宋体" w:cs="宋体"/>
                <w:bCs/>
              </w:rPr>
            </w:pPr>
            <w:r>
              <w:rPr>
                <w:rFonts w:hint="eastAsia" w:ascii="宋体" w:hAnsi="宋体" w:cs="宋体"/>
                <w:bCs/>
              </w:rPr>
              <w:t>6</w:t>
            </w:r>
          </w:p>
        </w:tc>
        <w:tc>
          <w:tcPr>
            <w:tcW w:w="3423" w:type="pct"/>
            <w:shd w:val="clear" w:color="auto" w:fill="auto"/>
            <w:noWrap/>
            <w:vAlign w:val="bottom"/>
          </w:tcPr>
          <w:p w14:paraId="21BA7E3C">
            <w:pPr>
              <w:rPr>
                <w:rFonts w:ascii="宋体" w:hAnsi="宋体" w:cs="宋体"/>
                <w:bCs/>
              </w:rPr>
            </w:pPr>
            <w:r>
              <w:rPr>
                <w:rFonts w:hint="eastAsia" w:ascii="宋体" w:hAnsi="宋体" w:cs="宋体"/>
                <w:bCs/>
              </w:rPr>
              <w:t>华新水泥股份有限公司安全风险评估管理规定</w:t>
            </w:r>
          </w:p>
        </w:tc>
        <w:tc>
          <w:tcPr>
            <w:tcW w:w="1204" w:type="pct"/>
            <w:shd w:val="clear" w:color="auto" w:fill="auto"/>
            <w:noWrap/>
            <w:vAlign w:val="bottom"/>
          </w:tcPr>
          <w:p w14:paraId="7193AEAE">
            <w:pPr>
              <w:rPr>
                <w:rFonts w:ascii="宋体" w:hAnsi="宋体" w:cs="宋体"/>
                <w:bCs/>
              </w:rPr>
            </w:pPr>
            <w:r>
              <w:rPr>
                <w:rFonts w:hint="eastAsia" w:ascii="宋体" w:hAnsi="宋体" w:cs="宋体"/>
                <w:bCs/>
              </w:rPr>
              <w:t>华股办[2017]50号</w:t>
            </w:r>
          </w:p>
        </w:tc>
      </w:tr>
      <w:tr w14:paraId="375FF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63183FD0">
            <w:pPr>
              <w:jc w:val="center"/>
              <w:rPr>
                <w:rFonts w:ascii="宋体" w:hAnsi="宋体" w:cs="宋体"/>
                <w:bCs/>
              </w:rPr>
            </w:pPr>
            <w:r>
              <w:rPr>
                <w:rFonts w:hint="eastAsia" w:ascii="宋体" w:hAnsi="宋体" w:cs="宋体"/>
                <w:bCs/>
              </w:rPr>
              <w:t>7</w:t>
            </w:r>
          </w:p>
        </w:tc>
        <w:tc>
          <w:tcPr>
            <w:tcW w:w="3423" w:type="pct"/>
            <w:shd w:val="clear" w:color="auto" w:fill="auto"/>
            <w:noWrap/>
            <w:vAlign w:val="bottom"/>
          </w:tcPr>
          <w:p w14:paraId="3008FDCB">
            <w:pPr>
              <w:rPr>
                <w:rFonts w:ascii="宋体" w:hAnsi="宋体" w:cs="宋体"/>
                <w:bCs/>
              </w:rPr>
            </w:pPr>
            <w:r>
              <w:rPr>
                <w:rFonts w:hint="eastAsia" w:ascii="宋体" w:hAnsi="宋体" w:cs="宋体"/>
                <w:bCs/>
              </w:rPr>
              <w:t>关于全面实施风险评估及工作许可的通知</w:t>
            </w:r>
          </w:p>
        </w:tc>
        <w:tc>
          <w:tcPr>
            <w:tcW w:w="1204" w:type="pct"/>
            <w:shd w:val="clear" w:color="auto" w:fill="auto"/>
            <w:noWrap/>
            <w:vAlign w:val="bottom"/>
          </w:tcPr>
          <w:p w14:paraId="675BED0E">
            <w:pPr>
              <w:rPr>
                <w:rFonts w:ascii="宋体" w:hAnsi="宋体" w:cs="宋体"/>
                <w:bCs/>
              </w:rPr>
            </w:pPr>
            <w:r>
              <w:rPr>
                <w:rFonts w:hint="eastAsia" w:ascii="宋体" w:hAnsi="宋体" w:cs="宋体"/>
                <w:bCs/>
              </w:rPr>
              <w:t>华康安[2016]1号</w:t>
            </w:r>
          </w:p>
        </w:tc>
      </w:tr>
      <w:tr w14:paraId="79E0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12ACD6E5">
            <w:pPr>
              <w:jc w:val="center"/>
              <w:rPr>
                <w:rFonts w:ascii="宋体" w:hAnsi="宋体" w:cs="宋体"/>
                <w:bCs/>
              </w:rPr>
            </w:pPr>
            <w:r>
              <w:rPr>
                <w:rFonts w:hint="eastAsia" w:ascii="宋体" w:hAnsi="宋体" w:cs="宋体"/>
                <w:bCs/>
              </w:rPr>
              <w:t>8</w:t>
            </w:r>
          </w:p>
        </w:tc>
        <w:tc>
          <w:tcPr>
            <w:tcW w:w="3423" w:type="pct"/>
            <w:shd w:val="clear" w:color="auto" w:fill="auto"/>
            <w:noWrap/>
            <w:vAlign w:val="bottom"/>
          </w:tcPr>
          <w:p w14:paraId="2B5E01D2">
            <w:pPr>
              <w:rPr>
                <w:rFonts w:ascii="宋体" w:hAnsi="宋体" w:cs="宋体"/>
                <w:bCs/>
              </w:rPr>
            </w:pPr>
            <w:r>
              <w:rPr>
                <w:rFonts w:hint="eastAsia" w:ascii="宋体" w:hAnsi="宋体" w:cs="宋体"/>
                <w:bCs/>
              </w:rPr>
              <w:t>华新水泥股份有限公司移动设备安全管理规定</w:t>
            </w:r>
          </w:p>
        </w:tc>
        <w:tc>
          <w:tcPr>
            <w:tcW w:w="1204" w:type="pct"/>
            <w:shd w:val="clear" w:color="auto" w:fill="auto"/>
            <w:noWrap/>
            <w:vAlign w:val="bottom"/>
          </w:tcPr>
          <w:p w14:paraId="585A6B5A">
            <w:pPr>
              <w:rPr>
                <w:rFonts w:ascii="宋体" w:hAnsi="宋体" w:cs="宋体"/>
                <w:bCs/>
              </w:rPr>
            </w:pPr>
            <w:r>
              <w:rPr>
                <w:rFonts w:hint="eastAsia" w:ascii="宋体" w:hAnsi="宋体" w:cs="宋体"/>
                <w:bCs/>
              </w:rPr>
              <w:t>华安字[2017]4号</w:t>
            </w:r>
          </w:p>
        </w:tc>
      </w:tr>
      <w:tr w14:paraId="0472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1B3CAE7B">
            <w:pPr>
              <w:jc w:val="center"/>
              <w:rPr>
                <w:rFonts w:ascii="宋体" w:hAnsi="宋体" w:cs="宋体"/>
                <w:bCs/>
              </w:rPr>
            </w:pPr>
            <w:r>
              <w:rPr>
                <w:rFonts w:hint="eastAsia" w:ascii="宋体" w:hAnsi="宋体" w:cs="宋体"/>
                <w:bCs/>
              </w:rPr>
              <w:t>9</w:t>
            </w:r>
          </w:p>
        </w:tc>
        <w:tc>
          <w:tcPr>
            <w:tcW w:w="3423" w:type="pct"/>
            <w:shd w:val="clear" w:color="auto" w:fill="auto"/>
            <w:noWrap/>
            <w:vAlign w:val="bottom"/>
          </w:tcPr>
          <w:p w14:paraId="348BA8FF">
            <w:pPr>
              <w:rPr>
                <w:rFonts w:ascii="宋体" w:hAnsi="宋体" w:cs="宋体"/>
                <w:bCs/>
              </w:rPr>
            </w:pPr>
            <w:r>
              <w:rPr>
                <w:rFonts w:hint="eastAsia" w:ascii="宋体" w:hAnsi="宋体" w:cs="宋体"/>
                <w:bCs/>
              </w:rPr>
              <w:t>华新水泥股份有限公司人员运输安全管理规定</w:t>
            </w:r>
          </w:p>
        </w:tc>
        <w:tc>
          <w:tcPr>
            <w:tcW w:w="1204" w:type="pct"/>
            <w:shd w:val="clear" w:color="auto" w:fill="auto"/>
            <w:noWrap/>
            <w:vAlign w:val="bottom"/>
          </w:tcPr>
          <w:p w14:paraId="6A344BFC">
            <w:pPr>
              <w:rPr>
                <w:rFonts w:ascii="宋体" w:hAnsi="宋体" w:cs="宋体"/>
                <w:bCs/>
              </w:rPr>
            </w:pPr>
            <w:r>
              <w:rPr>
                <w:rFonts w:hint="eastAsia" w:ascii="宋体" w:hAnsi="宋体" w:cs="宋体"/>
                <w:bCs/>
              </w:rPr>
              <w:t>华安字[2017]2号</w:t>
            </w:r>
          </w:p>
        </w:tc>
      </w:tr>
      <w:tr w14:paraId="5702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13816D0E">
            <w:pPr>
              <w:jc w:val="center"/>
              <w:rPr>
                <w:rFonts w:ascii="宋体" w:hAnsi="宋体" w:cs="宋体"/>
                <w:bCs/>
              </w:rPr>
            </w:pPr>
            <w:r>
              <w:rPr>
                <w:rFonts w:hint="eastAsia" w:ascii="宋体" w:hAnsi="宋体" w:cs="宋体"/>
                <w:bCs/>
              </w:rPr>
              <w:t>10</w:t>
            </w:r>
          </w:p>
        </w:tc>
        <w:tc>
          <w:tcPr>
            <w:tcW w:w="3423" w:type="pct"/>
            <w:shd w:val="clear" w:color="auto" w:fill="auto"/>
            <w:noWrap/>
            <w:vAlign w:val="bottom"/>
          </w:tcPr>
          <w:p w14:paraId="309F8F1A">
            <w:pPr>
              <w:rPr>
                <w:rFonts w:ascii="宋体" w:hAnsi="宋体" w:cs="宋体"/>
                <w:bCs/>
              </w:rPr>
            </w:pPr>
            <w:r>
              <w:rPr>
                <w:rFonts w:hint="eastAsia" w:ascii="宋体" w:hAnsi="宋体" w:cs="宋体"/>
                <w:bCs/>
              </w:rPr>
              <w:t>华新水泥股份有限公司物流运输安全管理规定</w:t>
            </w:r>
          </w:p>
        </w:tc>
        <w:tc>
          <w:tcPr>
            <w:tcW w:w="1204" w:type="pct"/>
            <w:shd w:val="clear" w:color="auto" w:fill="auto"/>
            <w:noWrap/>
            <w:vAlign w:val="bottom"/>
          </w:tcPr>
          <w:p w14:paraId="69836B50">
            <w:pPr>
              <w:rPr>
                <w:rFonts w:ascii="宋体" w:hAnsi="宋体" w:cs="宋体"/>
                <w:bCs/>
              </w:rPr>
            </w:pPr>
            <w:r>
              <w:rPr>
                <w:rFonts w:hint="eastAsia" w:ascii="宋体" w:hAnsi="宋体" w:cs="宋体"/>
                <w:bCs/>
              </w:rPr>
              <w:t>华安字[2017]3号</w:t>
            </w:r>
          </w:p>
        </w:tc>
      </w:tr>
      <w:tr w14:paraId="770F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09F5C71E">
            <w:pPr>
              <w:jc w:val="center"/>
              <w:rPr>
                <w:rFonts w:ascii="宋体" w:hAnsi="宋体" w:cs="宋体"/>
                <w:bCs/>
              </w:rPr>
            </w:pPr>
            <w:r>
              <w:rPr>
                <w:rFonts w:hint="eastAsia" w:ascii="宋体" w:hAnsi="宋体" w:cs="宋体"/>
                <w:bCs/>
              </w:rPr>
              <w:t>11</w:t>
            </w:r>
          </w:p>
        </w:tc>
        <w:tc>
          <w:tcPr>
            <w:tcW w:w="3423" w:type="pct"/>
            <w:shd w:val="clear" w:color="auto" w:fill="auto"/>
            <w:noWrap/>
            <w:vAlign w:val="bottom"/>
          </w:tcPr>
          <w:p w14:paraId="72ED81CB">
            <w:pPr>
              <w:rPr>
                <w:rFonts w:ascii="宋体" w:hAnsi="宋体" w:cs="宋体"/>
                <w:bCs/>
              </w:rPr>
            </w:pPr>
            <w:r>
              <w:rPr>
                <w:rFonts w:hint="eastAsia" w:ascii="宋体" w:hAnsi="宋体" w:cs="宋体"/>
                <w:bCs/>
              </w:rPr>
              <w:t>华新水泥股份有限公司物流车辆厂内安全管理规定</w:t>
            </w:r>
          </w:p>
        </w:tc>
        <w:tc>
          <w:tcPr>
            <w:tcW w:w="1204" w:type="pct"/>
            <w:shd w:val="clear" w:color="auto" w:fill="auto"/>
            <w:noWrap/>
            <w:vAlign w:val="bottom"/>
          </w:tcPr>
          <w:p w14:paraId="43D3302D">
            <w:pPr>
              <w:rPr>
                <w:rFonts w:ascii="宋体" w:hAnsi="宋体" w:cs="宋体"/>
                <w:bCs/>
              </w:rPr>
            </w:pPr>
            <w:r>
              <w:rPr>
                <w:rFonts w:hint="eastAsia" w:ascii="宋体" w:hAnsi="宋体" w:cs="宋体"/>
                <w:bCs/>
              </w:rPr>
              <w:t>华股办[2017]60号</w:t>
            </w:r>
          </w:p>
        </w:tc>
      </w:tr>
      <w:tr w14:paraId="0E97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67FE0E9E">
            <w:pPr>
              <w:jc w:val="center"/>
              <w:rPr>
                <w:rFonts w:ascii="宋体" w:hAnsi="宋体" w:cs="宋体"/>
                <w:bCs/>
              </w:rPr>
            </w:pPr>
            <w:r>
              <w:rPr>
                <w:rFonts w:hint="eastAsia" w:ascii="宋体" w:hAnsi="宋体" w:cs="宋体"/>
                <w:bCs/>
              </w:rPr>
              <w:t>12</w:t>
            </w:r>
          </w:p>
        </w:tc>
        <w:tc>
          <w:tcPr>
            <w:tcW w:w="3423" w:type="pct"/>
            <w:shd w:val="clear" w:color="auto" w:fill="auto"/>
            <w:noWrap/>
            <w:vAlign w:val="bottom"/>
          </w:tcPr>
          <w:p w14:paraId="50BE19BA">
            <w:pPr>
              <w:rPr>
                <w:rFonts w:ascii="宋体" w:hAnsi="宋体" w:cs="宋体"/>
                <w:bCs/>
              </w:rPr>
            </w:pPr>
            <w:r>
              <w:rPr>
                <w:rFonts w:hint="eastAsia" w:ascii="宋体" w:hAnsi="宋体" w:cs="宋体"/>
                <w:bCs/>
              </w:rPr>
              <w:t>华新水泥股份有限公司有限空间安全管理制度</w:t>
            </w:r>
          </w:p>
        </w:tc>
        <w:tc>
          <w:tcPr>
            <w:tcW w:w="1204" w:type="pct"/>
            <w:shd w:val="clear" w:color="auto" w:fill="auto"/>
            <w:noWrap/>
            <w:vAlign w:val="bottom"/>
          </w:tcPr>
          <w:p w14:paraId="3521004C">
            <w:pPr>
              <w:rPr>
                <w:rFonts w:ascii="宋体" w:hAnsi="宋体" w:cs="宋体"/>
                <w:bCs/>
              </w:rPr>
            </w:pPr>
            <w:r>
              <w:rPr>
                <w:rFonts w:hint="eastAsia" w:ascii="宋体" w:hAnsi="宋体" w:cs="宋体"/>
                <w:bCs/>
              </w:rPr>
              <w:t>华安字[2017]6号</w:t>
            </w:r>
          </w:p>
        </w:tc>
      </w:tr>
      <w:tr w14:paraId="0E8D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37039273">
            <w:pPr>
              <w:jc w:val="center"/>
              <w:rPr>
                <w:rFonts w:ascii="宋体" w:hAnsi="宋体" w:cs="宋体"/>
                <w:bCs/>
              </w:rPr>
            </w:pPr>
            <w:r>
              <w:rPr>
                <w:rFonts w:hint="eastAsia" w:ascii="宋体" w:hAnsi="宋体" w:cs="宋体"/>
                <w:bCs/>
              </w:rPr>
              <w:t>13</w:t>
            </w:r>
          </w:p>
        </w:tc>
        <w:tc>
          <w:tcPr>
            <w:tcW w:w="3423" w:type="pct"/>
            <w:shd w:val="clear" w:color="auto" w:fill="auto"/>
            <w:noWrap/>
            <w:vAlign w:val="bottom"/>
          </w:tcPr>
          <w:p w14:paraId="775B8C61">
            <w:pPr>
              <w:rPr>
                <w:rFonts w:ascii="宋体" w:hAnsi="宋体" w:cs="宋体"/>
                <w:bCs/>
              </w:rPr>
            </w:pPr>
            <w:r>
              <w:rPr>
                <w:rFonts w:hint="eastAsia" w:ascii="宋体" w:hAnsi="宋体" w:cs="宋体"/>
                <w:bCs/>
              </w:rPr>
              <w:t>华新水泥股份有限公司合同方健康与安全管理规定</w:t>
            </w:r>
          </w:p>
        </w:tc>
        <w:tc>
          <w:tcPr>
            <w:tcW w:w="1204" w:type="pct"/>
            <w:shd w:val="clear" w:color="auto" w:fill="auto"/>
            <w:noWrap/>
            <w:vAlign w:val="bottom"/>
          </w:tcPr>
          <w:p w14:paraId="0F78C3C2">
            <w:pPr>
              <w:rPr>
                <w:rFonts w:ascii="宋体" w:hAnsi="宋体" w:cs="宋体"/>
                <w:bCs/>
              </w:rPr>
            </w:pPr>
            <w:r>
              <w:rPr>
                <w:rFonts w:hint="eastAsia" w:ascii="宋体" w:hAnsi="宋体" w:cs="宋体"/>
                <w:bCs/>
              </w:rPr>
              <w:t>华安字[2017]7号</w:t>
            </w:r>
          </w:p>
        </w:tc>
      </w:tr>
      <w:tr w14:paraId="408B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373" w:type="pct"/>
            <w:shd w:val="clear" w:color="auto" w:fill="auto"/>
            <w:noWrap/>
            <w:vAlign w:val="bottom"/>
          </w:tcPr>
          <w:p w14:paraId="39E2E77A">
            <w:pPr>
              <w:jc w:val="center"/>
              <w:rPr>
                <w:rFonts w:ascii="宋体" w:hAnsi="宋体" w:cs="宋体"/>
                <w:bCs/>
              </w:rPr>
            </w:pPr>
            <w:r>
              <w:rPr>
                <w:rFonts w:hint="eastAsia" w:ascii="宋体" w:hAnsi="宋体" w:cs="宋体"/>
                <w:bCs/>
              </w:rPr>
              <w:t>14</w:t>
            </w:r>
          </w:p>
        </w:tc>
        <w:tc>
          <w:tcPr>
            <w:tcW w:w="3423" w:type="pct"/>
            <w:shd w:val="clear" w:color="auto" w:fill="auto"/>
            <w:noWrap/>
            <w:vAlign w:val="bottom"/>
          </w:tcPr>
          <w:p w14:paraId="5011DD26">
            <w:pPr>
              <w:rPr>
                <w:rFonts w:ascii="宋体" w:hAnsi="宋体" w:cs="宋体"/>
                <w:bCs/>
              </w:rPr>
            </w:pPr>
            <w:r>
              <w:rPr>
                <w:rFonts w:hint="eastAsia" w:ascii="宋体" w:hAnsi="宋体" w:cs="宋体"/>
                <w:bCs/>
              </w:rPr>
              <w:t>拉豪集团安全政策和五项规定</w:t>
            </w:r>
          </w:p>
        </w:tc>
        <w:tc>
          <w:tcPr>
            <w:tcW w:w="1204" w:type="pct"/>
            <w:shd w:val="clear" w:color="auto" w:fill="auto"/>
            <w:noWrap/>
            <w:vAlign w:val="bottom"/>
          </w:tcPr>
          <w:p w14:paraId="12C13DD2">
            <w:pPr>
              <w:rPr>
                <w:rFonts w:ascii="宋体" w:hAnsi="宋体" w:cs="宋体"/>
                <w:bCs/>
              </w:rPr>
            </w:pPr>
          </w:p>
        </w:tc>
      </w:tr>
      <w:tr w14:paraId="35E2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373" w:type="pct"/>
            <w:shd w:val="clear" w:color="auto" w:fill="auto"/>
            <w:noWrap/>
            <w:vAlign w:val="bottom"/>
          </w:tcPr>
          <w:p w14:paraId="3729C63E">
            <w:pPr>
              <w:jc w:val="center"/>
              <w:rPr>
                <w:rFonts w:ascii="宋体" w:hAnsi="宋体" w:cs="宋体"/>
                <w:bCs/>
              </w:rPr>
            </w:pPr>
            <w:r>
              <w:rPr>
                <w:rFonts w:hint="eastAsia" w:ascii="宋体" w:hAnsi="宋体" w:cs="宋体"/>
                <w:bCs/>
              </w:rPr>
              <w:t>15</w:t>
            </w:r>
          </w:p>
        </w:tc>
        <w:tc>
          <w:tcPr>
            <w:tcW w:w="3423" w:type="pct"/>
            <w:shd w:val="clear" w:color="auto" w:fill="auto"/>
            <w:noWrap/>
            <w:vAlign w:val="bottom"/>
          </w:tcPr>
          <w:p w14:paraId="613CBBD2">
            <w:pPr>
              <w:rPr>
                <w:rFonts w:ascii="宋体" w:hAnsi="宋体" w:cs="宋体"/>
                <w:bCs/>
              </w:rPr>
            </w:pPr>
            <w:r>
              <w:rPr>
                <w:rFonts w:hint="eastAsia" w:ascii="宋体" w:hAnsi="宋体" w:cs="宋体"/>
                <w:bCs/>
              </w:rPr>
              <w:t>事故报告分类与调查</w:t>
            </w:r>
          </w:p>
        </w:tc>
        <w:tc>
          <w:tcPr>
            <w:tcW w:w="1204" w:type="pct"/>
            <w:shd w:val="clear" w:color="auto" w:fill="auto"/>
            <w:noWrap/>
            <w:vAlign w:val="bottom"/>
          </w:tcPr>
          <w:p w14:paraId="0DF7A329">
            <w:pPr>
              <w:rPr>
                <w:rFonts w:ascii="宋体" w:hAnsi="宋体" w:cs="宋体"/>
                <w:bCs/>
              </w:rPr>
            </w:pPr>
          </w:p>
        </w:tc>
      </w:tr>
    </w:tbl>
    <w:p w14:paraId="3AA8D3D3"/>
    <w:p w14:paraId="6F593BEA">
      <w:pPr>
        <w:rPr>
          <w:sz w:val="24"/>
        </w:rPr>
      </w:pPr>
      <w:r>
        <w:rPr>
          <w:rFonts w:hint="eastAsia"/>
          <w:sz w:val="24"/>
        </w:rPr>
        <w:t>三、合同方安全管理类</w:t>
      </w:r>
    </w:p>
    <w:tbl>
      <w:tblPr>
        <w:tblStyle w:val="23"/>
        <w:tblW w:w="49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841"/>
        <w:gridCol w:w="5823"/>
      </w:tblGrid>
      <w:tr w14:paraId="05C8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75" w:type="pct"/>
            <w:shd w:val="clear" w:color="auto" w:fill="auto"/>
            <w:noWrap/>
            <w:vAlign w:val="bottom"/>
          </w:tcPr>
          <w:p w14:paraId="19619E54">
            <w:pPr>
              <w:jc w:val="center"/>
              <w:rPr>
                <w:rFonts w:ascii="宋体" w:hAnsi="宋体" w:cs="宋体"/>
                <w:bCs/>
              </w:rPr>
            </w:pPr>
            <w:r>
              <w:rPr>
                <w:rFonts w:hint="eastAsia" w:ascii="宋体" w:hAnsi="宋体" w:cs="宋体"/>
                <w:bCs/>
              </w:rPr>
              <w:t>序号</w:t>
            </w:r>
          </w:p>
        </w:tc>
        <w:tc>
          <w:tcPr>
            <w:tcW w:w="1111" w:type="pct"/>
            <w:shd w:val="clear" w:color="auto" w:fill="auto"/>
            <w:noWrap/>
            <w:vAlign w:val="bottom"/>
          </w:tcPr>
          <w:p w14:paraId="239AF628">
            <w:pPr>
              <w:jc w:val="center"/>
              <w:rPr>
                <w:rFonts w:ascii="宋体" w:hAnsi="宋体" w:cs="宋体"/>
                <w:bCs/>
              </w:rPr>
            </w:pPr>
            <w:r>
              <w:rPr>
                <w:rFonts w:hint="eastAsia" w:ascii="宋体" w:hAnsi="宋体" w:cs="宋体"/>
                <w:bCs/>
              </w:rPr>
              <w:t>名称</w:t>
            </w:r>
          </w:p>
        </w:tc>
        <w:tc>
          <w:tcPr>
            <w:tcW w:w="3514" w:type="pct"/>
            <w:shd w:val="clear" w:color="auto" w:fill="auto"/>
            <w:noWrap/>
            <w:vAlign w:val="bottom"/>
          </w:tcPr>
          <w:p w14:paraId="7D9CD34D">
            <w:pPr>
              <w:jc w:val="center"/>
              <w:rPr>
                <w:rFonts w:ascii="宋体" w:hAnsi="宋体" w:cs="宋体"/>
                <w:bCs/>
              </w:rPr>
            </w:pPr>
            <w:r>
              <w:rPr>
                <w:rFonts w:hint="eastAsia" w:ascii="宋体" w:hAnsi="宋体" w:cs="宋体"/>
                <w:bCs/>
              </w:rPr>
              <w:t>内容</w:t>
            </w:r>
          </w:p>
        </w:tc>
      </w:tr>
      <w:tr w14:paraId="6FFA8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70F1FD02">
            <w:pPr>
              <w:jc w:val="center"/>
              <w:rPr>
                <w:rFonts w:ascii="宋体" w:hAnsi="宋体" w:cs="宋体"/>
                <w:bCs/>
              </w:rPr>
            </w:pPr>
            <w:r>
              <w:rPr>
                <w:rFonts w:hint="eastAsia" w:ascii="宋体" w:hAnsi="宋体" w:cs="宋体"/>
                <w:bCs/>
              </w:rPr>
              <w:t>1</w:t>
            </w:r>
          </w:p>
        </w:tc>
        <w:tc>
          <w:tcPr>
            <w:tcW w:w="1111" w:type="pct"/>
            <w:vMerge w:val="restart"/>
            <w:shd w:val="clear" w:color="auto" w:fill="auto"/>
            <w:noWrap/>
            <w:vAlign w:val="center"/>
          </w:tcPr>
          <w:p w14:paraId="6806EC75">
            <w:pPr>
              <w:rPr>
                <w:rFonts w:ascii="宋体" w:hAnsi="宋体" w:cs="宋体"/>
                <w:bCs/>
              </w:rPr>
            </w:pPr>
            <w:r>
              <w:rPr>
                <w:rFonts w:hint="eastAsia" w:ascii="宋体" w:hAnsi="宋体" w:cs="宋体"/>
                <w:kern w:val="0"/>
                <w:sz w:val="22"/>
                <w:szCs w:val="22"/>
              </w:rPr>
              <w:t>资质证照</w:t>
            </w:r>
          </w:p>
        </w:tc>
        <w:tc>
          <w:tcPr>
            <w:tcW w:w="3514" w:type="pct"/>
            <w:shd w:val="clear" w:color="auto" w:fill="auto"/>
            <w:noWrap/>
            <w:vAlign w:val="bottom"/>
          </w:tcPr>
          <w:p w14:paraId="5E8CBE05">
            <w:pPr>
              <w:rPr>
                <w:rFonts w:ascii="宋体" w:hAnsi="宋体" w:cs="宋体"/>
                <w:bCs/>
              </w:rPr>
            </w:pPr>
            <w:r>
              <w:rPr>
                <w:rFonts w:hint="eastAsia" w:ascii="宋体" w:hAnsi="宋体" w:cs="宋体"/>
                <w:kern w:val="0"/>
                <w:sz w:val="22"/>
                <w:szCs w:val="22"/>
              </w:rPr>
              <w:t>资质&amp;证照</w:t>
            </w:r>
          </w:p>
        </w:tc>
      </w:tr>
      <w:tr w14:paraId="3D30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bottom"/>
          </w:tcPr>
          <w:p w14:paraId="1E5DAC05">
            <w:pPr>
              <w:jc w:val="center"/>
              <w:rPr>
                <w:rFonts w:ascii="宋体" w:hAnsi="宋体" w:cs="宋体"/>
                <w:bCs/>
              </w:rPr>
            </w:pPr>
          </w:p>
        </w:tc>
        <w:tc>
          <w:tcPr>
            <w:tcW w:w="1111" w:type="pct"/>
            <w:vMerge w:val="continue"/>
            <w:shd w:val="clear" w:color="auto" w:fill="auto"/>
            <w:noWrap/>
            <w:vAlign w:val="bottom"/>
          </w:tcPr>
          <w:p w14:paraId="7BD45061">
            <w:pPr>
              <w:rPr>
                <w:rFonts w:ascii="宋体" w:hAnsi="宋体" w:cs="宋体"/>
                <w:bCs/>
              </w:rPr>
            </w:pPr>
          </w:p>
        </w:tc>
        <w:tc>
          <w:tcPr>
            <w:tcW w:w="3514" w:type="pct"/>
            <w:shd w:val="clear" w:color="auto" w:fill="auto"/>
            <w:noWrap/>
            <w:vAlign w:val="bottom"/>
          </w:tcPr>
          <w:p w14:paraId="6CE07760">
            <w:pPr>
              <w:rPr>
                <w:rFonts w:ascii="宋体" w:hAnsi="宋体" w:cs="宋体"/>
                <w:bCs/>
              </w:rPr>
            </w:pPr>
            <w:r>
              <w:rPr>
                <w:rFonts w:hint="eastAsia" w:ascii="宋体" w:hAnsi="宋体" w:cs="宋体"/>
                <w:kern w:val="0"/>
                <w:sz w:val="22"/>
                <w:szCs w:val="22"/>
              </w:rPr>
              <w:t>资质证照的有效性</w:t>
            </w:r>
          </w:p>
        </w:tc>
      </w:tr>
      <w:tr w14:paraId="18D4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75" w:type="pct"/>
            <w:vMerge w:val="restart"/>
            <w:shd w:val="clear" w:color="auto" w:fill="auto"/>
            <w:noWrap/>
            <w:vAlign w:val="center"/>
          </w:tcPr>
          <w:p w14:paraId="1558B0FC">
            <w:pPr>
              <w:jc w:val="center"/>
              <w:rPr>
                <w:rFonts w:ascii="宋体" w:hAnsi="宋体" w:cs="宋体"/>
                <w:bCs/>
              </w:rPr>
            </w:pPr>
            <w:r>
              <w:rPr>
                <w:rFonts w:hint="eastAsia" w:ascii="宋体" w:hAnsi="宋体" w:cs="宋体"/>
                <w:bCs/>
              </w:rPr>
              <w:t>2</w:t>
            </w:r>
          </w:p>
        </w:tc>
        <w:tc>
          <w:tcPr>
            <w:tcW w:w="1111" w:type="pct"/>
            <w:vMerge w:val="restart"/>
            <w:shd w:val="clear" w:color="auto" w:fill="auto"/>
            <w:vAlign w:val="center"/>
          </w:tcPr>
          <w:p w14:paraId="027EC70B">
            <w:pPr>
              <w:rPr>
                <w:rFonts w:ascii="宋体" w:hAnsi="宋体" w:cs="宋体"/>
                <w:bCs/>
              </w:rPr>
            </w:pPr>
            <w:r>
              <w:rPr>
                <w:rFonts w:hint="eastAsia" w:ascii="宋体" w:hAnsi="宋体" w:cs="宋体"/>
                <w:kern w:val="0"/>
                <w:sz w:val="22"/>
                <w:szCs w:val="22"/>
              </w:rPr>
              <w:t>安全管理机构</w:t>
            </w:r>
          </w:p>
        </w:tc>
        <w:tc>
          <w:tcPr>
            <w:tcW w:w="3514" w:type="pct"/>
            <w:shd w:val="clear" w:color="auto" w:fill="auto"/>
            <w:noWrap/>
            <w:vAlign w:val="bottom"/>
          </w:tcPr>
          <w:p w14:paraId="2311ECF4">
            <w:pPr>
              <w:rPr>
                <w:rFonts w:ascii="宋体" w:hAnsi="宋体" w:cs="宋体"/>
                <w:bCs/>
              </w:rPr>
            </w:pPr>
            <w:r>
              <w:rPr>
                <w:rFonts w:hint="eastAsia" w:ascii="宋体" w:hAnsi="宋体" w:cs="宋体"/>
                <w:kern w:val="0"/>
                <w:sz w:val="22"/>
                <w:szCs w:val="22"/>
              </w:rPr>
              <w:t>安全生产管理机构设置（按照安全生产法执行，超过100人的配置安全管理机构）</w:t>
            </w:r>
          </w:p>
        </w:tc>
      </w:tr>
      <w:tr w14:paraId="22AE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1C82D9EE">
            <w:pPr>
              <w:jc w:val="center"/>
              <w:rPr>
                <w:rFonts w:ascii="宋体" w:hAnsi="宋体" w:cs="宋体"/>
                <w:bCs/>
              </w:rPr>
            </w:pPr>
          </w:p>
        </w:tc>
        <w:tc>
          <w:tcPr>
            <w:tcW w:w="1111" w:type="pct"/>
            <w:vMerge w:val="continue"/>
            <w:shd w:val="clear" w:color="auto" w:fill="auto"/>
            <w:noWrap/>
            <w:vAlign w:val="bottom"/>
          </w:tcPr>
          <w:p w14:paraId="05E6B714">
            <w:pPr>
              <w:rPr>
                <w:rFonts w:ascii="宋体" w:hAnsi="宋体" w:cs="宋体"/>
                <w:bCs/>
              </w:rPr>
            </w:pPr>
          </w:p>
        </w:tc>
        <w:tc>
          <w:tcPr>
            <w:tcW w:w="3514" w:type="pct"/>
            <w:shd w:val="clear" w:color="auto" w:fill="auto"/>
            <w:noWrap/>
            <w:vAlign w:val="bottom"/>
          </w:tcPr>
          <w:p w14:paraId="3157B141">
            <w:pPr>
              <w:rPr>
                <w:rFonts w:ascii="宋体" w:hAnsi="宋体" w:cs="宋体"/>
                <w:bCs/>
              </w:rPr>
            </w:pPr>
            <w:r>
              <w:rPr>
                <w:rFonts w:hint="eastAsia" w:ascii="宋体" w:hAnsi="宋体" w:cs="宋体"/>
                <w:kern w:val="0"/>
                <w:sz w:val="22"/>
                <w:szCs w:val="22"/>
              </w:rPr>
              <w:t>安全管理人员配备</w:t>
            </w:r>
          </w:p>
        </w:tc>
      </w:tr>
      <w:tr w14:paraId="3654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1E42FCD6">
            <w:pPr>
              <w:jc w:val="center"/>
              <w:rPr>
                <w:rFonts w:ascii="宋体" w:hAnsi="宋体" w:cs="宋体"/>
                <w:bCs/>
              </w:rPr>
            </w:pPr>
            <w:r>
              <w:rPr>
                <w:rFonts w:hint="eastAsia" w:ascii="宋体" w:hAnsi="宋体" w:cs="宋体"/>
                <w:bCs/>
              </w:rPr>
              <w:t>3</w:t>
            </w:r>
          </w:p>
        </w:tc>
        <w:tc>
          <w:tcPr>
            <w:tcW w:w="1111" w:type="pct"/>
            <w:vMerge w:val="restart"/>
            <w:shd w:val="clear" w:color="auto" w:fill="auto"/>
            <w:noWrap/>
            <w:vAlign w:val="center"/>
          </w:tcPr>
          <w:p w14:paraId="785E0580">
            <w:pPr>
              <w:rPr>
                <w:rFonts w:ascii="宋体" w:hAnsi="宋体" w:cs="宋体"/>
                <w:bCs/>
              </w:rPr>
            </w:pPr>
            <w:r>
              <w:rPr>
                <w:rFonts w:hint="eastAsia" w:ascii="宋体" w:hAnsi="宋体" w:cs="宋体"/>
                <w:kern w:val="0"/>
                <w:sz w:val="22"/>
                <w:szCs w:val="22"/>
              </w:rPr>
              <w:t>安全管理</w:t>
            </w:r>
          </w:p>
        </w:tc>
        <w:tc>
          <w:tcPr>
            <w:tcW w:w="3514" w:type="pct"/>
            <w:shd w:val="clear" w:color="auto" w:fill="auto"/>
            <w:noWrap/>
            <w:vAlign w:val="bottom"/>
          </w:tcPr>
          <w:p w14:paraId="4FE9B99A">
            <w:pPr>
              <w:rPr>
                <w:rFonts w:ascii="宋体" w:hAnsi="宋体" w:cs="宋体"/>
                <w:bCs/>
              </w:rPr>
            </w:pPr>
            <w:r>
              <w:rPr>
                <w:rFonts w:hint="eastAsia" w:ascii="宋体" w:hAnsi="宋体" w:cs="宋体"/>
                <w:kern w:val="0"/>
                <w:sz w:val="22"/>
                <w:szCs w:val="22"/>
              </w:rPr>
              <w:t>安全责任主体</w:t>
            </w:r>
          </w:p>
        </w:tc>
      </w:tr>
      <w:tr w14:paraId="76C4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69323C34">
            <w:pPr>
              <w:jc w:val="center"/>
              <w:rPr>
                <w:rFonts w:ascii="宋体" w:hAnsi="宋体" w:cs="宋体"/>
                <w:bCs/>
              </w:rPr>
            </w:pPr>
          </w:p>
        </w:tc>
        <w:tc>
          <w:tcPr>
            <w:tcW w:w="1111" w:type="pct"/>
            <w:vMerge w:val="continue"/>
            <w:shd w:val="clear" w:color="auto" w:fill="auto"/>
            <w:noWrap/>
            <w:vAlign w:val="bottom"/>
          </w:tcPr>
          <w:p w14:paraId="17772882">
            <w:pPr>
              <w:rPr>
                <w:rFonts w:ascii="宋体" w:hAnsi="宋体" w:cs="宋体"/>
                <w:bCs/>
              </w:rPr>
            </w:pPr>
          </w:p>
        </w:tc>
        <w:tc>
          <w:tcPr>
            <w:tcW w:w="3514" w:type="pct"/>
            <w:shd w:val="clear" w:color="auto" w:fill="auto"/>
            <w:noWrap/>
            <w:vAlign w:val="bottom"/>
          </w:tcPr>
          <w:p w14:paraId="550BCFB3">
            <w:pPr>
              <w:rPr>
                <w:rFonts w:ascii="宋体" w:hAnsi="宋体" w:cs="宋体"/>
                <w:bCs/>
              </w:rPr>
            </w:pPr>
            <w:r>
              <w:rPr>
                <w:rFonts w:hint="eastAsia" w:ascii="宋体" w:hAnsi="宋体" w:cs="宋体"/>
                <w:kern w:val="0"/>
                <w:sz w:val="22"/>
                <w:szCs w:val="22"/>
              </w:rPr>
              <w:t>安全操作规程及管理制度</w:t>
            </w:r>
          </w:p>
        </w:tc>
      </w:tr>
      <w:tr w14:paraId="4F52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6F275AD9">
            <w:pPr>
              <w:jc w:val="center"/>
              <w:rPr>
                <w:rFonts w:ascii="宋体" w:hAnsi="宋体" w:cs="宋体"/>
                <w:bCs/>
              </w:rPr>
            </w:pPr>
          </w:p>
        </w:tc>
        <w:tc>
          <w:tcPr>
            <w:tcW w:w="1111" w:type="pct"/>
            <w:vMerge w:val="continue"/>
            <w:shd w:val="clear" w:color="auto" w:fill="auto"/>
            <w:noWrap/>
            <w:vAlign w:val="bottom"/>
          </w:tcPr>
          <w:p w14:paraId="2120F9BB">
            <w:pPr>
              <w:rPr>
                <w:rFonts w:ascii="宋体" w:hAnsi="宋体" w:cs="宋体"/>
                <w:bCs/>
              </w:rPr>
            </w:pPr>
          </w:p>
        </w:tc>
        <w:tc>
          <w:tcPr>
            <w:tcW w:w="3514" w:type="pct"/>
            <w:shd w:val="clear" w:color="auto" w:fill="auto"/>
            <w:noWrap/>
            <w:vAlign w:val="bottom"/>
          </w:tcPr>
          <w:p w14:paraId="436A7D81">
            <w:pPr>
              <w:rPr>
                <w:rFonts w:ascii="宋体" w:hAnsi="宋体" w:cs="宋体"/>
                <w:bCs/>
              </w:rPr>
            </w:pPr>
            <w:r>
              <w:rPr>
                <w:rFonts w:hint="eastAsia" w:ascii="宋体" w:hAnsi="宋体" w:cs="宋体"/>
                <w:kern w:val="0"/>
                <w:sz w:val="22"/>
                <w:szCs w:val="22"/>
              </w:rPr>
              <w:t>制度及文件管理</w:t>
            </w:r>
          </w:p>
        </w:tc>
      </w:tr>
      <w:tr w14:paraId="280E1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549934C9">
            <w:pPr>
              <w:jc w:val="center"/>
              <w:rPr>
                <w:rFonts w:ascii="宋体" w:hAnsi="宋体" w:cs="宋体"/>
                <w:bCs/>
              </w:rPr>
            </w:pPr>
            <w:r>
              <w:rPr>
                <w:rFonts w:hint="eastAsia" w:ascii="宋体" w:hAnsi="宋体" w:cs="宋体"/>
                <w:bCs/>
              </w:rPr>
              <w:t>4</w:t>
            </w:r>
          </w:p>
        </w:tc>
        <w:tc>
          <w:tcPr>
            <w:tcW w:w="1111" w:type="pct"/>
            <w:vMerge w:val="restart"/>
            <w:shd w:val="clear" w:color="auto" w:fill="auto"/>
            <w:noWrap/>
            <w:vAlign w:val="center"/>
          </w:tcPr>
          <w:p w14:paraId="791D454E">
            <w:pPr>
              <w:rPr>
                <w:rFonts w:ascii="宋体" w:hAnsi="宋体" w:cs="宋体"/>
                <w:bCs/>
              </w:rPr>
            </w:pPr>
            <w:r>
              <w:rPr>
                <w:rFonts w:hint="eastAsia" w:ascii="宋体" w:hAnsi="宋体" w:cs="宋体"/>
                <w:kern w:val="0"/>
                <w:sz w:val="22"/>
                <w:szCs w:val="22"/>
              </w:rPr>
              <w:t>相关方管理</w:t>
            </w:r>
          </w:p>
        </w:tc>
        <w:tc>
          <w:tcPr>
            <w:tcW w:w="3514" w:type="pct"/>
            <w:shd w:val="clear" w:color="auto" w:fill="auto"/>
            <w:noWrap/>
            <w:vAlign w:val="bottom"/>
          </w:tcPr>
          <w:p w14:paraId="62ED8846">
            <w:pPr>
              <w:rPr>
                <w:rFonts w:ascii="宋体" w:hAnsi="宋体" w:cs="宋体"/>
                <w:bCs/>
              </w:rPr>
            </w:pPr>
            <w:r>
              <w:rPr>
                <w:rFonts w:hint="eastAsia" w:ascii="宋体" w:hAnsi="宋体" w:cs="宋体"/>
                <w:kern w:val="0"/>
                <w:sz w:val="22"/>
                <w:szCs w:val="22"/>
              </w:rPr>
              <w:t>相关方（第三方）资质</w:t>
            </w:r>
          </w:p>
        </w:tc>
      </w:tr>
      <w:tr w14:paraId="63BD7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0DDB614E">
            <w:pPr>
              <w:jc w:val="center"/>
              <w:rPr>
                <w:rFonts w:ascii="宋体" w:hAnsi="宋体" w:cs="宋体"/>
                <w:bCs/>
              </w:rPr>
            </w:pPr>
          </w:p>
        </w:tc>
        <w:tc>
          <w:tcPr>
            <w:tcW w:w="1111" w:type="pct"/>
            <w:vMerge w:val="continue"/>
            <w:shd w:val="clear" w:color="auto" w:fill="auto"/>
            <w:noWrap/>
            <w:vAlign w:val="bottom"/>
          </w:tcPr>
          <w:p w14:paraId="63F9DF5E">
            <w:pPr>
              <w:rPr>
                <w:rFonts w:ascii="宋体" w:hAnsi="宋体" w:cs="宋体"/>
                <w:bCs/>
              </w:rPr>
            </w:pPr>
          </w:p>
        </w:tc>
        <w:tc>
          <w:tcPr>
            <w:tcW w:w="3514" w:type="pct"/>
            <w:shd w:val="clear" w:color="auto" w:fill="auto"/>
            <w:noWrap/>
            <w:vAlign w:val="bottom"/>
          </w:tcPr>
          <w:p w14:paraId="0A871724">
            <w:pPr>
              <w:rPr>
                <w:rFonts w:ascii="宋体" w:hAnsi="宋体" w:cs="宋体"/>
                <w:bCs/>
              </w:rPr>
            </w:pPr>
            <w:r>
              <w:rPr>
                <w:rFonts w:hint="eastAsia" w:ascii="宋体" w:hAnsi="宋体" w:cs="宋体"/>
                <w:kern w:val="0"/>
                <w:sz w:val="22"/>
                <w:szCs w:val="22"/>
              </w:rPr>
              <w:t>安全职责约定</w:t>
            </w:r>
          </w:p>
        </w:tc>
      </w:tr>
      <w:tr w14:paraId="1DA4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55CAB850">
            <w:pPr>
              <w:jc w:val="center"/>
              <w:rPr>
                <w:rFonts w:ascii="宋体" w:hAnsi="宋体" w:cs="宋体"/>
                <w:bCs/>
              </w:rPr>
            </w:pPr>
          </w:p>
        </w:tc>
        <w:tc>
          <w:tcPr>
            <w:tcW w:w="1111" w:type="pct"/>
            <w:vMerge w:val="continue"/>
            <w:shd w:val="clear" w:color="auto" w:fill="auto"/>
            <w:noWrap/>
            <w:vAlign w:val="bottom"/>
          </w:tcPr>
          <w:p w14:paraId="0367593A">
            <w:pPr>
              <w:rPr>
                <w:rFonts w:ascii="宋体" w:hAnsi="宋体" w:cs="宋体"/>
                <w:bCs/>
              </w:rPr>
            </w:pPr>
          </w:p>
        </w:tc>
        <w:tc>
          <w:tcPr>
            <w:tcW w:w="3514" w:type="pct"/>
            <w:shd w:val="clear" w:color="auto" w:fill="auto"/>
            <w:noWrap/>
            <w:vAlign w:val="bottom"/>
          </w:tcPr>
          <w:p w14:paraId="17169C68">
            <w:pPr>
              <w:rPr>
                <w:rFonts w:ascii="宋体" w:hAnsi="宋体" w:cs="宋体"/>
                <w:bCs/>
              </w:rPr>
            </w:pPr>
            <w:r>
              <w:rPr>
                <w:rFonts w:hint="eastAsia" w:ascii="宋体" w:hAnsi="宋体" w:cs="宋体"/>
                <w:kern w:val="0"/>
                <w:sz w:val="22"/>
                <w:szCs w:val="22"/>
              </w:rPr>
              <w:t>安全教育、监督管理</w:t>
            </w:r>
          </w:p>
        </w:tc>
      </w:tr>
      <w:tr w14:paraId="5F63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259DDCDE">
            <w:pPr>
              <w:jc w:val="center"/>
              <w:rPr>
                <w:rFonts w:ascii="宋体" w:hAnsi="宋体" w:cs="宋体"/>
                <w:bCs/>
              </w:rPr>
            </w:pPr>
            <w:r>
              <w:rPr>
                <w:rFonts w:hint="eastAsia" w:ascii="宋体" w:hAnsi="宋体" w:cs="宋体"/>
                <w:bCs/>
              </w:rPr>
              <w:t>5</w:t>
            </w:r>
          </w:p>
        </w:tc>
        <w:tc>
          <w:tcPr>
            <w:tcW w:w="1111" w:type="pct"/>
            <w:vMerge w:val="restart"/>
            <w:shd w:val="clear" w:color="auto" w:fill="auto"/>
            <w:noWrap/>
            <w:vAlign w:val="center"/>
          </w:tcPr>
          <w:p w14:paraId="17402D2D">
            <w:pPr>
              <w:rPr>
                <w:rFonts w:ascii="宋体" w:hAnsi="宋体" w:cs="宋体"/>
                <w:bCs/>
              </w:rPr>
            </w:pPr>
            <w:r>
              <w:rPr>
                <w:rFonts w:hint="eastAsia" w:ascii="宋体" w:hAnsi="宋体" w:cs="宋体"/>
                <w:kern w:val="0"/>
                <w:sz w:val="22"/>
                <w:szCs w:val="22"/>
              </w:rPr>
              <w:t>职业健康</w:t>
            </w:r>
          </w:p>
        </w:tc>
        <w:tc>
          <w:tcPr>
            <w:tcW w:w="3514" w:type="pct"/>
            <w:shd w:val="clear" w:color="auto" w:fill="auto"/>
            <w:noWrap/>
            <w:vAlign w:val="bottom"/>
          </w:tcPr>
          <w:p w14:paraId="7F2FB736">
            <w:pPr>
              <w:rPr>
                <w:rFonts w:ascii="宋体" w:hAnsi="宋体" w:cs="宋体"/>
                <w:bCs/>
              </w:rPr>
            </w:pPr>
            <w:r>
              <w:rPr>
                <w:rFonts w:hint="eastAsia" w:ascii="宋体" w:hAnsi="宋体" w:cs="宋体"/>
                <w:kern w:val="0"/>
                <w:sz w:val="22"/>
                <w:szCs w:val="22"/>
              </w:rPr>
              <w:t>合同方职业健康检查</w:t>
            </w:r>
          </w:p>
        </w:tc>
      </w:tr>
      <w:tr w14:paraId="0ACC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6A557C43">
            <w:pPr>
              <w:jc w:val="center"/>
              <w:rPr>
                <w:rFonts w:ascii="宋体" w:hAnsi="宋体" w:cs="宋体"/>
                <w:bCs/>
              </w:rPr>
            </w:pPr>
          </w:p>
        </w:tc>
        <w:tc>
          <w:tcPr>
            <w:tcW w:w="1111" w:type="pct"/>
            <w:vMerge w:val="continue"/>
            <w:shd w:val="clear" w:color="auto" w:fill="auto"/>
            <w:noWrap/>
            <w:vAlign w:val="bottom"/>
          </w:tcPr>
          <w:p w14:paraId="2F600A33">
            <w:pPr>
              <w:rPr>
                <w:rFonts w:ascii="宋体" w:hAnsi="宋体" w:cs="宋体"/>
                <w:bCs/>
              </w:rPr>
            </w:pPr>
          </w:p>
        </w:tc>
        <w:tc>
          <w:tcPr>
            <w:tcW w:w="3514" w:type="pct"/>
            <w:shd w:val="clear" w:color="auto" w:fill="auto"/>
            <w:noWrap/>
            <w:vAlign w:val="bottom"/>
          </w:tcPr>
          <w:p w14:paraId="24D16B7F">
            <w:pPr>
              <w:rPr>
                <w:rFonts w:ascii="宋体" w:hAnsi="宋体" w:cs="宋体"/>
                <w:bCs/>
              </w:rPr>
            </w:pPr>
            <w:r>
              <w:rPr>
                <w:rFonts w:hint="eastAsia" w:ascii="宋体" w:hAnsi="宋体" w:cs="宋体"/>
                <w:kern w:val="0"/>
                <w:sz w:val="22"/>
                <w:szCs w:val="22"/>
              </w:rPr>
              <w:t>职业病危害因素告知</w:t>
            </w:r>
          </w:p>
        </w:tc>
      </w:tr>
      <w:tr w14:paraId="0356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411C27C5">
            <w:pPr>
              <w:jc w:val="center"/>
              <w:rPr>
                <w:rFonts w:ascii="宋体" w:hAnsi="宋体" w:cs="宋体"/>
                <w:bCs/>
              </w:rPr>
            </w:pPr>
            <w:r>
              <w:rPr>
                <w:rFonts w:hint="eastAsia" w:ascii="宋体" w:hAnsi="宋体" w:cs="宋体"/>
                <w:bCs/>
              </w:rPr>
              <w:t>6</w:t>
            </w:r>
          </w:p>
        </w:tc>
        <w:tc>
          <w:tcPr>
            <w:tcW w:w="1111" w:type="pct"/>
            <w:vMerge w:val="restart"/>
            <w:shd w:val="clear" w:color="auto" w:fill="auto"/>
            <w:noWrap/>
            <w:vAlign w:val="center"/>
          </w:tcPr>
          <w:p w14:paraId="32F89C1E">
            <w:pPr>
              <w:rPr>
                <w:rFonts w:ascii="宋体" w:hAnsi="宋体" w:cs="宋体"/>
                <w:bCs/>
              </w:rPr>
            </w:pPr>
            <w:r>
              <w:rPr>
                <w:rFonts w:hint="eastAsia" w:ascii="宋体" w:hAnsi="宋体" w:cs="宋体"/>
                <w:kern w:val="0"/>
                <w:sz w:val="22"/>
                <w:szCs w:val="22"/>
              </w:rPr>
              <w:t>安全投入</w:t>
            </w:r>
          </w:p>
        </w:tc>
        <w:tc>
          <w:tcPr>
            <w:tcW w:w="3514" w:type="pct"/>
            <w:shd w:val="clear" w:color="auto" w:fill="auto"/>
            <w:noWrap/>
            <w:vAlign w:val="bottom"/>
          </w:tcPr>
          <w:p w14:paraId="4BAD2630">
            <w:pPr>
              <w:rPr>
                <w:rFonts w:ascii="宋体" w:hAnsi="宋体" w:cs="宋体"/>
                <w:bCs/>
              </w:rPr>
            </w:pPr>
            <w:r>
              <w:rPr>
                <w:rFonts w:hint="eastAsia" w:ascii="宋体" w:hAnsi="宋体" w:cs="宋体"/>
                <w:kern w:val="0"/>
                <w:sz w:val="22"/>
                <w:szCs w:val="22"/>
              </w:rPr>
              <w:t>安全投入及使用</w:t>
            </w:r>
          </w:p>
        </w:tc>
      </w:tr>
      <w:tr w14:paraId="5469C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43BF7C59">
            <w:pPr>
              <w:jc w:val="center"/>
              <w:rPr>
                <w:rFonts w:ascii="宋体" w:hAnsi="宋体" w:cs="宋体"/>
                <w:bCs/>
              </w:rPr>
            </w:pPr>
          </w:p>
        </w:tc>
        <w:tc>
          <w:tcPr>
            <w:tcW w:w="1111" w:type="pct"/>
            <w:vMerge w:val="continue"/>
            <w:shd w:val="clear" w:color="auto" w:fill="auto"/>
            <w:noWrap/>
            <w:vAlign w:val="bottom"/>
          </w:tcPr>
          <w:p w14:paraId="1B4F5D76">
            <w:pPr>
              <w:rPr>
                <w:rFonts w:ascii="宋体" w:hAnsi="宋体" w:cs="宋体"/>
                <w:bCs/>
              </w:rPr>
            </w:pPr>
          </w:p>
        </w:tc>
        <w:tc>
          <w:tcPr>
            <w:tcW w:w="3514" w:type="pct"/>
            <w:shd w:val="clear" w:color="auto" w:fill="auto"/>
            <w:noWrap/>
            <w:vAlign w:val="bottom"/>
          </w:tcPr>
          <w:p w14:paraId="5237EDE3">
            <w:pPr>
              <w:rPr>
                <w:rFonts w:ascii="宋体" w:hAnsi="宋体" w:cs="宋体"/>
                <w:bCs/>
              </w:rPr>
            </w:pPr>
            <w:r>
              <w:rPr>
                <w:rFonts w:hint="eastAsia" w:ascii="宋体" w:hAnsi="宋体" w:cs="宋体"/>
                <w:kern w:val="0"/>
                <w:sz w:val="22"/>
                <w:szCs w:val="22"/>
              </w:rPr>
              <w:t>从业人员安全培训</w:t>
            </w:r>
          </w:p>
        </w:tc>
      </w:tr>
      <w:tr w14:paraId="4734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71290654">
            <w:pPr>
              <w:jc w:val="center"/>
              <w:rPr>
                <w:rFonts w:ascii="宋体" w:hAnsi="宋体" w:cs="宋体"/>
                <w:bCs/>
              </w:rPr>
            </w:pPr>
            <w:r>
              <w:rPr>
                <w:rFonts w:hint="eastAsia" w:ascii="宋体" w:hAnsi="宋体" w:cs="宋体"/>
                <w:bCs/>
              </w:rPr>
              <w:t>7</w:t>
            </w:r>
          </w:p>
        </w:tc>
        <w:tc>
          <w:tcPr>
            <w:tcW w:w="1111" w:type="pct"/>
            <w:vMerge w:val="restart"/>
            <w:shd w:val="clear" w:color="auto" w:fill="auto"/>
            <w:noWrap/>
            <w:vAlign w:val="center"/>
          </w:tcPr>
          <w:p w14:paraId="3A7A142B">
            <w:pPr>
              <w:rPr>
                <w:rFonts w:ascii="宋体" w:hAnsi="宋体" w:cs="宋体"/>
                <w:bCs/>
              </w:rPr>
            </w:pPr>
            <w:r>
              <w:rPr>
                <w:rFonts w:hint="eastAsia" w:ascii="宋体" w:hAnsi="宋体" w:cs="宋体"/>
                <w:kern w:val="0"/>
                <w:sz w:val="22"/>
                <w:szCs w:val="22"/>
              </w:rPr>
              <w:t>个人防护</w:t>
            </w:r>
          </w:p>
        </w:tc>
        <w:tc>
          <w:tcPr>
            <w:tcW w:w="3514" w:type="pct"/>
            <w:shd w:val="clear" w:color="auto" w:fill="auto"/>
            <w:noWrap/>
            <w:vAlign w:val="bottom"/>
          </w:tcPr>
          <w:p w14:paraId="0E289A22">
            <w:pPr>
              <w:rPr>
                <w:rFonts w:ascii="宋体" w:hAnsi="宋体" w:cs="宋体"/>
                <w:bCs/>
              </w:rPr>
            </w:pPr>
            <w:r>
              <w:rPr>
                <w:rFonts w:hint="eastAsia" w:ascii="宋体" w:hAnsi="宋体" w:cs="宋体"/>
                <w:kern w:val="0"/>
                <w:sz w:val="22"/>
                <w:szCs w:val="22"/>
              </w:rPr>
              <w:t>个人防护用品配备</w:t>
            </w:r>
          </w:p>
        </w:tc>
      </w:tr>
      <w:tr w14:paraId="21F6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07CC7FBC">
            <w:pPr>
              <w:jc w:val="center"/>
              <w:rPr>
                <w:rFonts w:ascii="宋体" w:hAnsi="宋体" w:cs="宋体"/>
                <w:bCs/>
              </w:rPr>
            </w:pPr>
          </w:p>
        </w:tc>
        <w:tc>
          <w:tcPr>
            <w:tcW w:w="1111" w:type="pct"/>
            <w:vMerge w:val="continue"/>
            <w:shd w:val="clear" w:color="auto" w:fill="auto"/>
            <w:noWrap/>
            <w:vAlign w:val="bottom"/>
          </w:tcPr>
          <w:p w14:paraId="4E5F288D">
            <w:pPr>
              <w:rPr>
                <w:rFonts w:ascii="宋体" w:hAnsi="宋体" w:cs="宋体"/>
                <w:bCs/>
              </w:rPr>
            </w:pPr>
          </w:p>
        </w:tc>
        <w:tc>
          <w:tcPr>
            <w:tcW w:w="3514" w:type="pct"/>
            <w:shd w:val="clear" w:color="auto" w:fill="auto"/>
            <w:noWrap/>
            <w:vAlign w:val="bottom"/>
          </w:tcPr>
          <w:p w14:paraId="6B70F166">
            <w:pPr>
              <w:rPr>
                <w:rFonts w:ascii="宋体" w:hAnsi="宋体" w:cs="宋体"/>
                <w:bCs/>
              </w:rPr>
            </w:pPr>
            <w:r>
              <w:rPr>
                <w:rFonts w:hint="eastAsia" w:ascii="宋体" w:hAnsi="宋体" w:cs="宋体"/>
                <w:kern w:val="0"/>
                <w:sz w:val="22"/>
                <w:szCs w:val="22"/>
              </w:rPr>
              <w:t>个人防护装备使用及管理（按特种作业要求执行）</w:t>
            </w:r>
          </w:p>
        </w:tc>
      </w:tr>
      <w:tr w14:paraId="60D8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shd w:val="clear" w:color="auto" w:fill="auto"/>
            <w:noWrap/>
            <w:vAlign w:val="center"/>
          </w:tcPr>
          <w:p w14:paraId="3AEEFDB8">
            <w:pPr>
              <w:jc w:val="center"/>
              <w:rPr>
                <w:rFonts w:ascii="宋体" w:hAnsi="宋体" w:cs="宋体"/>
                <w:bCs/>
              </w:rPr>
            </w:pPr>
            <w:r>
              <w:rPr>
                <w:rFonts w:hint="eastAsia" w:ascii="宋体" w:hAnsi="宋体" w:cs="宋体"/>
                <w:bCs/>
              </w:rPr>
              <w:t>8</w:t>
            </w:r>
          </w:p>
        </w:tc>
        <w:tc>
          <w:tcPr>
            <w:tcW w:w="1111" w:type="pct"/>
            <w:shd w:val="clear" w:color="auto" w:fill="auto"/>
            <w:noWrap/>
            <w:vAlign w:val="bottom"/>
          </w:tcPr>
          <w:p w14:paraId="416303D6">
            <w:pPr>
              <w:rPr>
                <w:rFonts w:ascii="宋体" w:hAnsi="宋体" w:cs="宋体"/>
                <w:bCs/>
              </w:rPr>
            </w:pPr>
            <w:r>
              <w:rPr>
                <w:rFonts w:hint="eastAsia" w:ascii="宋体" w:hAnsi="宋体" w:cs="宋体"/>
                <w:kern w:val="0"/>
                <w:sz w:val="22"/>
                <w:szCs w:val="22"/>
              </w:rPr>
              <w:t>安全培训教育</w:t>
            </w:r>
          </w:p>
        </w:tc>
        <w:tc>
          <w:tcPr>
            <w:tcW w:w="3514" w:type="pct"/>
            <w:shd w:val="clear" w:color="auto" w:fill="auto"/>
            <w:noWrap/>
            <w:vAlign w:val="bottom"/>
          </w:tcPr>
          <w:p w14:paraId="6ABED2BD">
            <w:pPr>
              <w:rPr>
                <w:rFonts w:ascii="宋体" w:hAnsi="宋体" w:cs="宋体"/>
                <w:bCs/>
              </w:rPr>
            </w:pPr>
            <w:r>
              <w:rPr>
                <w:rFonts w:hint="eastAsia" w:ascii="宋体" w:hAnsi="宋体" w:cs="宋体"/>
                <w:kern w:val="0"/>
                <w:sz w:val="22"/>
                <w:szCs w:val="22"/>
              </w:rPr>
              <w:t>安全培训机制</w:t>
            </w:r>
          </w:p>
        </w:tc>
      </w:tr>
      <w:tr w14:paraId="639A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239B71B4">
            <w:pPr>
              <w:jc w:val="center"/>
              <w:rPr>
                <w:rFonts w:ascii="宋体" w:hAnsi="宋体" w:cs="宋体"/>
                <w:bCs/>
              </w:rPr>
            </w:pPr>
            <w:r>
              <w:rPr>
                <w:rFonts w:hint="eastAsia" w:ascii="宋体" w:hAnsi="宋体" w:cs="宋体"/>
                <w:bCs/>
              </w:rPr>
              <w:t>9</w:t>
            </w:r>
          </w:p>
        </w:tc>
        <w:tc>
          <w:tcPr>
            <w:tcW w:w="1111" w:type="pct"/>
            <w:vMerge w:val="restart"/>
            <w:shd w:val="clear" w:color="auto" w:fill="auto"/>
            <w:noWrap/>
            <w:vAlign w:val="center"/>
          </w:tcPr>
          <w:p w14:paraId="101FE7B0">
            <w:pPr>
              <w:rPr>
                <w:rFonts w:ascii="宋体" w:hAnsi="宋体" w:cs="宋体"/>
                <w:bCs/>
              </w:rPr>
            </w:pPr>
            <w:r>
              <w:rPr>
                <w:rFonts w:hint="eastAsia" w:ascii="宋体" w:hAnsi="宋体" w:cs="宋体"/>
                <w:kern w:val="0"/>
                <w:sz w:val="22"/>
                <w:szCs w:val="22"/>
              </w:rPr>
              <w:t>重大危险源管理</w:t>
            </w:r>
          </w:p>
        </w:tc>
        <w:tc>
          <w:tcPr>
            <w:tcW w:w="3514" w:type="pct"/>
            <w:shd w:val="clear" w:color="auto" w:fill="auto"/>
            <w:noWrap/>
            <w:vAlign w:val="bottom"/>
          </w:tcPr>
          <w:p w14:paraId="699E421A">
            <w:pPr>
              <w:rPr>
                <w:rFonts w:ascii="宋体" w:hAnsi="宋体" w:cs="宋体"/>
                <w:bCs/>
              </w:rPr>
            </w:pPr>
            <w:r>
              <w:rPr>
                <w:rFonts w:hint="eastAsia" w:ascii="宋体" w:hAnsi="宋体" w:cs="宋体"/>
                <w:kern w:val="0"/>
                <w:sz w:val="22"/>
                <w:szCs w:val="22"/>
              </w:rPr>
              <w:t>重大危险源辨识与评估（如被国家列为重大危险源的）</w:t>
            </w:r>
          </w:p>
        </w:tc>
      </w:tr>
      <w:tr w14:paraId="1237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5752F856">
            <w:pPr>
              <w:jc w:val="center"/>
              <w:rPr>
                <w:rFonts w:ascii="宋体" w:hAnsi="宋体" w:cs="宋体"/>
                <w:bCs/>
              </w:rPr>
            </w:pPr>
          </w:p>
        </w:tc>
        <w:tc>
          <w:tcPr>
            <w:tcW w:w="1111" w:type="pct"/>
            <w:vMerge w:val="continue"/>
            <w:shd w:val="clear" w:color="auto" w:fill="auto"/>
            <w:noWrap/>
            <w:vAlign w:val="bottom"/>
          </w:tcPr>
          <w:p w14:paraId="253E7627">
            <w:pPr>
              <w:rPr>
                <w:rFonts w:ascii="宋体" w:hAnsi="宋体" w:cs="宋体"/>
                <w:bCs/>
              </w:rPr>
            </w:pPr>
          </w:p>
        </w:tc>
        <w:tc>
          <w:tcPr>
            <w:tcW w:w="3514" w:type="pct"/>
            <w:shd w:val="clear" w:color="auto" w:fill="auto"/>
            <w:noWrap/>
            <w:vAlign w:val="bottom"/>
          </w:tcPr>
          <w:p w14:paraId="227F2555">
            <w:pPr>
              <w:rPr>
                <w:rFonts w:ascii="宋体" w:hAnsi="宋体" w:cs="宋体"/>
                <w:bCs/>
              </w:rPr>
            </w:pPr>
            <w:r>
              <w:rPr>
                <w:rFonts w:hint="eastAsia" w:ascii="宋体" w:hAnsi="宋体" w:cs="宋体"/>
                <w:kern w:val="0"/>
                <w:sz w:val="22"/>
                <w:szCs w:val="22"/>
              </w:rPr>
              <w:t>重大危险源监控预警（如被国家列为重大危险源的）</w:t>
            </w:r>
          </w:p>
        </w:tc>
      </w:tr>
      <w:tr w14:paraId="4572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4C604EA8">
            <w:pPr>
              <w:jc w:val="center"/>
              <w:rPr>
                <w:rFonts w:ascii="宋体" w:hAnsi="宋体" w:cs="宋体"/>
                <w:bCs/>
              </w:rPr>
            </w:pPr>
            <w:r>
              <w:rPr>
                <w:rFonts w:hint="eastAsia" w:ascii="宋体" w:hAnsi="宋体" w:cs="宋体"/>
                <w:bCs/>
              </w:rPr>
              <w:t>10</w:t>
            </w:r>
          </w:p>
        </w:tc>
        <w:tc>
          <w:tcPr>
            <w:tcW w:w="1111" w:type="pct"/>
            <w:vMerge w:val="restart"/>
            <w:shd w:val="clear" w:color="auto" w:fill="auto"/>
            <w:noWrap/>
            <w:vAlign w:val="center"/>
          </w:tcPr>
          <w:p w14:paraId="531F941C">
            <w:pPr>
              <w:rPr>
                <w:rFonts w:ascii="宋体" w:hAnsi="宋体" w:cs="宋体"/>
                <w:bCs/>
              </w:rPr>
            </w:pPr>
            <w:r>
              <w:rPr>
                <w:rFonts w:hint="eastAsia" w:ascii="宋体" w:hAnsi="宋体" w:cs="宋体"/>
                <w:kern w:val="0"/>
                <w:sz w:val="22"/>
                <w:szCs w:val="22"/>
              </w:rPr>
              <w:t>隐患排查整改</w:t>
            </w:r>
          </w:p>
        </w:tc>
        <w:tc>
          <w:tcPr>
            <w:tcW w:w="3514" w:type="pct"/>
            <w:shd w:val="clear" w:color="auto" w:fill="auto"/>
            <w:noWrap/>
            <w:vAlign w:val="bottom"/>
          </w:tcPr>
          <w:p w14:paraId="2ECD38F5">
            <w:pPr>
              <w:rPr>
                <w:rFonts w:ascii="宋体" w:hAnsi="宋体" w:cs="宋体"/>
                <w:bCs/>
              </w:rPr>
            </w:pPr>
            <w:r>
              <w:rPr>
                <w:rFonts w:hint="eastAsia" w:ascii="宋体" w:hAnsi="宋体" w:cs="宋体"/>
                <w:kern w:val="0"/>
                <w:sz w:val="22"/>
                <w:szCs w:val="22"/>
              </w:rPr>
              <w:t>事故隐患排查和汇报</w:t>
            </w:r>
          </w:p>
        </w:tc>
      </w:tr>
      <w:tr w14:paraId="67A42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64382E86">
            <w:pPr>
              <w:jc w:val="center"/>
              <w:rPr>
                <w:rFonts w:ascii="宋体" w:hAnsi="宋体" w:cs="宋体"/>
                <w:bCs/>
              </w:rPr>
            </w:pPr>
          </w:p>
        </w:tc>
        <w:tc>
          <w:tcPr>
            <w:tcW w:w="1111" w:type="pct"/>
            <w:vMerge w:val="continue"/>
            <w:shd w:val="clear" w:color="auto" w:fill="auto"/>
            <w:noWrap/>
            <w:vAlign w:val="bottom"/>
          </w:tcPr>
          <w:p w14:paraId="72563749">
            <w:pPr>
              <w:rPr>
                <w:rFonts w:ascii="宋体" w:hAnsi="宋体" w:cs="宋体"/>
                <w:bCs/>
              </w:rPr>
            </w:pPr>
          </w:p>
        </w:tc>
        <w:tc>
          <w:tcPr>
            <w:tcW w:w="3514" w:type="pct"/>
            <w:shd w:val="clear" w:color="auto" w:fill="auto"/>
            <w:noWrap/>
            <w:vAlign w:val="bottom"/>
          </w:tcPr>
          <w:p w14:paraId="27B13971">
            <w:pPr>
              <w:rPr>
                <w:rFonts w:ascii="宋体" w:hAnsi="宋体" w:cs="宋体"/>
                <w:bCs/>
              </w:rPr>
            </w:pPr>
            <w:r>
              <w:rPr>
                <w:rFonts w:hint="eastAsia" w:ascii="宋体" w:hAnsi="宋体" w:cs="宋体"/>
                <w:kern w:val="0"/>
                <w:sz w:val="22"/>
                <w:szCs w:val="22"/>
              </w:rPr>
              <w:t>事故隐患整改</w:t>
            </w:r>
          </w:p>
        </w:tc>
      </w:tr>
      <w:tr w14:paraId="1D831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694D6703">
            <w:pPr>
              <w:jc w:val="center"/>
              <w:rPr>
                <w:rFonts w:ascii="宋体" w:hAnsi="宋体" w:cs="宋体"/>
                <w:bCs/>
              </w:rPr>
            </w:pPr>
            <w:r>
              <w:rPr>
                <w:rFonts w:hint="eastAsia" w:ascii="宋体" w:hAnsi="宋体" w:cs="宋体"/>
                <w:bCs/>
              </w:rPr>
              <w:t>11</w:t>
            </w:r>
          </w:p>
        </w:tc>
        <w:tc>
          <w:tcPr>
            <w:tcW w:w="1111" w:type="pct"/>
            <w:vMerge w:val="restart"/>
            <w:shd w:val="clear" w:color="auto" w:fill="auto"/>
            <w:noWrap/>
            <w:vAlign w:val="center"/>
          </w:tcPr>
          <w:p w14:paraId="5343CD4F">
            <w:pPr>
              <w:rPr>
                <w:rFonts w:ascii="宋体" w:hAnsi="宋体" w:cs="宋体"/>
                <w:bCs/>
              </w:rPr>
            </w:pPr>
            <w:r>
              <w:rPr>
                <w:rFonts w:hint="eastAsia" w:ascii="宋体" w:hAnsi="宋体" w:cs="宋体"/>
                <w:kern w:val="0"/>
                <w:sz w:val="22"/>
                <w:szCs w:val="22"/>
              </w:rPr>
              <w:t>应急管理</w:t>
            </w:r>
          </w:p>
        </w:tc>
        <w:tc>
          <w:tcPr>
            <w:tcW w:w="3514" w:type="pct"/>
            <w:shd w:val="clear" w:color="auto" w:fill="auto"/>
            <w:noWrap/>
            <w:vAlign w:val="bottom"/>
          </w:tcPr>
          <w:p w14:paraId="5C9E23F9">
            <w:pPr>
              <w:rPr>
                <w:rFonts w:ascii="宋体" w:hAnsi="宋体" w:cs="宋体"/>
                <w:bCs/>
              </w:rPr>
            </w:pPr>
            <w:r>
              <w:rPr>
                <w:rFonts w:hint="eastAsia" w:ascii="宋体" w:hAnsi="宋体" w:cs="宋体"/>
                <w:kern w:val="0"/>
                <w:sz w:val="22"/>
                <w:szCs w:val="22"/>
              </w:rPr>
              <w:t>应急组织机构和人员</w:t>
            </w:r>
          </w:p>
        </w:tc>
      </w:tr>
      <w:tr w14:paraId="1C00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bottom"/>
          </w:tcPr>
          <w:p w14:paraId="0E9E0671">
            <w:pPr>
              <w:jc w:val="center"/>
              <w:rPr>
                <w:rFonts w:ascii="宋体" w:hAnsi="宋体" w:cs="宋体"/>
                <w:bCs/>
              </w:rPr>
            </w:pPr>
          </w:p>
        </w:tc>
        <w:tc>
          <w:tcPr>
            <w:tcW w:w="1111" w:type="pct"/>
            <w:vMerge w:val="continue"/>
            <w:shd w:val="clear" w:color="auto" w:fill="auto"/>
            <w:noWrap/>
            <w:vAlign w:val="bottom"/>
          </w:tcPr>
          <w:p w14:paraId="4C7F3131">
            <w:pPr>
              <w:rPr>
                <w:rFonts w:ascii="宋体" w:hAnsi="宋体" w:cs="宋体"/>
                <w:bCs/>
              </w:rPr>
            </w:pPr>
          </w:p>
        </w:tc>
        <w:tc>
          <w:tcPr>
            <w:tcW w:w="3514" w:type="pct"/>
            <w:shd w:val="clear" w:color="auto" w:fill="auto"/>
            <w:noWrap/>
            <w:vAlign w:val="bottom"/>
          </w:tcPr>
          <w:p w14:paraId="4385F6AF">
            <w:pPr>
              <w:rPr>
                <w:rFonts w:ascii="宋体" w:hAnsi="宋体" w:cs="宋体"/>
                <w:bCs/>
              </w:rPr>
            </w:pPr>
            <w:r>
              <w:rPr>
                <w:rFonts w:hint="eastAsia" w:ascii="宋体" w:hAnsi="宋体" w:cs="宋体"/>
                <w:kern w:val="0"/>
                <w:sz w:val="22"/>
                <w:szCs w:val="22"/>
              </w:rPr>
              <w:t>应急预案制定及演练</w:t>
            </w:r>
          </w:p>
        </w:tc>
      </w:tr>
      <w:tr w14:paraId="3499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bottom"/>
          </w:tcPr>
          <w:p w14:paraId="1CC3E3DB">
            <w:pPr>
              <w:jc w:val="center"/>
              <w:rPr>
                <w:rFonts w:ascii="宋体" w:hAnsi="宋体" w:cs="宋体"/>
                <w:bCs/>
              </w:rPr>
            </w:pPr>
          </w:p>
        </w:tc>
        <w:tc>
          <w:tcPr>
            <w:tcW w:w="1111" w:type="pct"/>
            <w:vMerge w:val="continue"/>
            <w:shd w:val="clear" w:color="auto" w:fill="auto"/>
            <w:noWrap/>
            <w:vAlign w:val="bottom"/>
          </w:tcPr>
          <w:p w14:paraId="1B9BB5AA">
            <w:pPr>
              <w:rPr>
                <w:rFonts w:ascii="宋体" w:hAnsi="宋体" w:cs="宋体"/>
                <w:bCs/>
              </w:rPr>
            </w:pPr>
          </w:p>
        </w:tc>
        <w:tc>
          <w:tcPr>
            <w:tcW w:w="3514" w:type="pct"/>
            <w:shd w:val="clear" w:color="auto" w:fill="auto"/>
            <w:noWrap/>
            <w:vAlign w:val="bottom"/>
          </w:tcPr>
          <w:p w14:paraId="23DDB1E2">
            <w:pPr>
              <w:rPr>
                <w:rFonts w:ascii="宋体" w:hAnsi="宋体" w:cs="宋体"/>
                <w:bCs/>
              </w:rPr>
            </w:pPr>
            <w:r>
              <w:rPr>
                <w:rFonts w:hint="eastAsia" w:ascii="宋体" w:hAnsi="宋体" w:cs="宋体"/>
                <w:kern w:val="0"/>
                <w:sz w:val="22"/>
                <w:szCs w:val="22"/>
              </w:rPr>
              <w:t>应急装备及物资的配备、保养和管理（应急装备及物资由业主方提供，应急车辆使用地方公共资源）</w:t>
            </w:r>
          </w:p>
        </w:tc>
      </w:tr>
    </w:tbl>
    <w:p w14:paraId="1CED1A02"/>
    <w:p w14:paraId="4F43453E">
      <w:pPr>
        <w:rPr>
          <w:sz w:val="24"/>
        </w:rPr>
      </w:pPr>
      <w:r>
        <w:rPr>
          <w:rFonts w:hint="eastAsia"/>
          <w:sz w:val="24"/>
        </w:rPr>
        <w:t>四、施工现场安全管理</w:t>
      </w:r>
    </w:p>
    <w:tbl>
      <w:tblPr>
        <w:tblStyle w:val="23"/>
        <w:tblW w:w="49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841"/>
        <w:gridCol w:w="5823"/>
      </w:tblGrid>
      <w:tr w14:paraId="4E45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75" w:type="pct"/>
            <w:shd w:val="clear" w:color="auto" w:fill="auto"/>
            <w:noWrap/>
            <w:vAlign w:val="bottom"/>
          </w:tcPr>
          <w:p w14:paraId="7CA2B5F3">
            <w:pPr>
              <w:jc w:val="center"/>
              <w:rPr>
                <w:rFonts w:ascii="宋体" w:hAnsi="宋体" w:cs="宋体"/>
                <w:bCs/>
              </w:rPr>
            </w:pPr>
            <w:r>
              <w:rPr>
                <w:rFonts w:hint="eastAsia" w:ascii="宋体" w:hAnsi="宋体" w:cs="宋体"/>
                <w:bCs/>
              </w:rPr>
              <w:t>序号</w:t>
            </w:r>
          </w:p>
        </w:tc>
        <w:tc>
          <w:tcPr>
            <w:tcW w:w="1111" w:type="pct"/>
            <w:shd w:val="clear" w:color="auto" w:fill="auto"/>
            <w:noWrap/>
            <w:vAlign w:val="bottom"/>
          </w:tcPr>
          <w:p w14:paraId="2FA25121">
            <w:pPr>
              <w:jc w:val="center"/>
              <w:rPr>
                <w:rFonts w:ascii="宋体" w:hAnsi="宋体" w:cs="宋体"/>
                <w:bCs/>
              </w:rPr>
            </w:pPr>
            <w:r>
              <w:rPr>
                <w:rFonts w:hint="eastAsia" w:ascii="宋体" w:hAnsi="宋体" w:cs="宋体"/>
                <w:bCs/>
              </w:rPr>
              <w:t>名称</w:t>
            </w:r>
          </w:p>
        </w:tc>
        <w:tc>
          <w:tcPr>
            <w:tcW w:w="3514" w:type="pct"/>
            <w:shd w:val="clear" w:color="auto" w:fill="auto"/>
            <w:noWrap/>
            <w:vAlign w:val="bottom"/>
          </w:tcPr>
          <w:p w14:paraId="7620EE1F">
            <w:pPr>
              <w:jc w:val="center"/>
              <w:rPr>
                <w:rFonts w:ascii="宋体" w:hAnsi="宋体" w:cs="宋体"/>
                <w:bCs/>
              </w:rPr>
            </w:pPr>
            <w:r>
              <w:rPr>
                <w:rFonts w:hint="eastAsia" w:ascii="宋体" w:hAnsi="宋体" w:cs="宋体"/>
                <w:bCs/>
              </w:rPr>
              <w:t>内容</w:t>
            </w:r>
          </w:p>
        </w:tc>
      </w:tr>
      <w:tr w14:paraId="3316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76AF3708">
            <w:pPr>
              <w:jc w:val="center"/>
              <w:rPr>
                <w:rFonts w:ascii="宋体" w:hAnsi="宋体" w:cs="宋体"/>
                <w:bCs/>
              </w:rPr>
            </w:pPr>
            <w:r>
              <w:rPr>
                <w:rFonts w:hint="eastAsia" w:ascii="宋体" w:hAnsi="宋体" w:cs="宋体"/>
                <w:bCs/>
              </w:rPr>
              <w:t>1</w:t>
            </w:r>
          </w:p>
        </w:tc>
        <w:tc>
          <w:tcPr>
            <w:tcW w:w="1111" w:type="pct"/>
            <w:vMerge w:val="restart"/>
            <w:shd w:val="clear" w:color="auto" w:fill="auto"/>
            <w:noWrap/>
            <w:vAlign w:val="center"/>
          </w:tcPr>
          <w:p w14:paraId="07C14EFB">
            <w:pPr>
              <w:rPr>
                <w:rFonts w:ascii="宋体" w:hAnsi="宋体" w:cs="宋体"/>
                <w:bCs/>
              </w:rPr>
            </w:pPr>
            <w:r>
              <w:rPr>
                <w:rFonts w:ascii="Arial" w:hAnsi="Arial" w:cs="Arial"/>
                <w:kern w:val="0"/>
                <w:sz w:val="22"/>
                <w:szCs w:val="22"/>
              </w:rPr>
              <w:t>作业场所</w:t>
            </w:r>
          </w:p>
        </w:tc>
        <w:tc>
          <w:tcPr>
            <w:tcW w:w="3514" w:type="pct"/>
            <w:shd w:val="clear" w:color="auto" w:fill="auto"/>
            <w:noWrap/>
            <w:vAlign w:val="center"/>
          </w:tcPr>
          <w:p w14:paraId="64C6DDEB">
            <w:pPr>
              <w:widowControl/>
              <w:jc w:val="left"/>
              <w:rPr>
                <w:rFonts w:ascii="宋体" w:hAnsi="宋体" w:cs="宋体"/>
                <w:kern w:val="0"/>
                <w:sz w:val="22"/>
                <w:szCs w:val="22"/>
              </w:rPr>
            </w:pPr>
            <w:r>
              <w:rPr>
                <w:rFonts w:hint="eastAsia" w:ascii="宋体" w:hAnsi="宋体" w:cs="宋体"/>
                <w:kern w:val="0"/>
                <w:sz w:val="22"/>
                <w:szCs w:val="22"/>
              </w:rPr>
              <w:t>选址及设计</w:t>
            </w:r>
          </w:p>
        </w:tc>
      </w:tr>
      <w:tr w14:paraId="1E02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75F8FDE4">
            <w:pPr>
              <w:jc w:val="center"/>
              <w:rPr>
                <w:rFonts w:ascii="宋体" w:hAnsi="宋体" w:cs="宋体"/>
                <w:bCs/>
              </w:rPr>
            </w:pPr>
          </w:p>
        </w:tc>
        <w:tc>
          <w:tcPr>
            <w:tcW w:w="1111" w:type="pct"/>
            <w:vMerge w:val="continue"/>
            <w:shd w:val="clear" w:color="auto" w:fill="auto"/>
            <w:noWrap/>
            <w:vAlign w:val="center"/>
          </w:tcPr>
          <w:p w14:paraId="7521AE6C">
            <w:pPr>
              <w:rPr>
                <w:rFonts w:ascii="Arial" w:hAnsi="Arial" w:cs="Arial"/>
                <w:kern w:val="0"/>
                <w:sz w:val="22"/>
                <w:szCs w:val="22"/>
              </w:rPr>
            </w:pPr>
          </w:p>
        </w:tc>
        <w:tc>
          <w:tcPr>
            <w:tcW w:w="3514" w:type="pct"/>
            <w:shd w:val="clear" w:color="auto" w:fill="auto"/>
            <w:noWrap/>
            <w:vAlign w:val="center"/>
          </w:tcPr>
          <w:p w14:paraId="7E7731A8">
            <w:pPr>
              <w:widowControl/>
              <w:jc w:val="left"/>
              <w:rPr>
                <w:rFonts w:ascii="宋体" w:hAnsi="宋体" w:cs="宋体"/>
                <w:kern w:val="0"/>
                <w:sz w:val="22"/>
                <w:szCs w:val="22"/>
              </w:rPr>
            </w:pPr>
            <w:r>
              <w:rPr>
                <w:rFonts w:hint="eastAsia" w:ascii="宋体" w:hAnsi="宋体" w:cs="宋体"/>
                <w:kern w:val="0"/>
                <w:sz w:val="22"/>
                <w:szCs w:val="22"/>
              </w:rPr>
              <w:t>场地狭窄</w:t>
            </w:r>
          </w:p>
        </w:tc>
      </w:tr>
      <w:tr w14:paraId="63B9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bottom"/>
          </w:tcPr>
          <w:p w14:paraId="04C0B781">
            <w:pPr>
              <w:jc w:val="center"/>
              <w:rPr>
                <w:rFonts w:ascii="宋体" w:hAnsi="宋体" w:cs="宋体"/>
                <w:bCs/>
              </w:rPr>
            </w:pPr>
          </w:p>
        </w:tc>
        <w:tc>
          <w:tcPr>
            <w:tcW w:w="1111" w:type="pct"/>
            <w:vMerge w:val="continue"/>
            <w:shd w:val="clear" w:color="auto" w:fill="auto"/>
            <w:noWrap/>
            <w:vAlign w:val="bottom"/>
          </w:tcPr>
          <w:p w14:paraId="546C0EF4">
            <w:pPr>
              <w:rPr>
                <w:rFonts w:ascii="宋体" w:hAnsi="宋体" w:cs="宋体"/>
                <w:bCs/>
              </w:rPr>
            </w:pPr>
          </w:p>
        </w:tc>
        <w:tc>
          <w:tcPr>
            <w:tcW w:w="3514" w:type="pct"/>
            <w:shd w:val="clear" w:color="auto" w:fill="auto"/>
            <w:noWrap/>
            <w:vAlign w:val="center"/>
          </w:tcPr>
          <w:p w14:paraId="2B6AC278">
            <w:pPr>
              <w:widowControl/>
              <w:jc w:val="left"/>
              <w:rPr>
                <w:rFonts w:ascii="宋体" w:hAnsi="宋体" w:cs="宋体"/>
                <w:kern w:val="0"/>
                <w:sz w:val="22"/>
                <w:szCs w:val="22"/>
              </w:rPr>
            </w:pPr>
            <w:r>
              <w:rPr>
                <w:rFonts w:hint="eastAsia" w:ascii="宋体" w:hAnsi="宋体" w:cs="宋体"/>
                <w:kern w:val="0"/>
                <w:sz w:val="22"/>
                <w:szCs w:val="22"/>
              </w:rPr>
              <w:t>安全标志</w:t>
            </w:r>
          </w:p>
        </w:tc>
      </w:tr>
      <w:tr w14:paraId="23F9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375" w:type="pct"/>
            <w:vMerge w:val="restart"/>
            <w:shd w:val="clear" w:color="auto" w:fill="auto"/>
            <w:noWrap/>
            <w:vAlign w:val="center"/>
          </w:tcPr>
          <w:p w14:paraId="5CF77749">
            <w:pPr>
              <w:jc w:val="center"/>
              <w:rPr>
                <w:rFonts w:ascii="宋体" w:hAnsi="宋体" w:cs="宋体"/>
                <w:bCs/>
              </w:rPr>
            </w:pPr>
            <w:r>
              <w:rPr>
                <w:rFonts w:hint="eastAsia" w:ascii="宋体" w:hAnsi="宋体" w:cs="宋体"/>
                <w:bCs/>
              </w:rPr>
              <w:t>2</w:t>
            </w:r>
          </w:p>
        </w:tc>
        <w:tc>
          <w:tcPr>
            <w:tcW w:w="1111" w:type="pct"/>
            <w:vMerge w:val="restart"/>
            <w:shd w:val="clear" w:color="auto" w:fill="auto"/>
            <w:vAlign w:val="center"/>
          </w:tcPr>
          <w:p w14:paraId="5E8D96F8">
            <w:pPr>
              <w:rPr>
                <w:rFonts w:ascii="宋体" w:hAnsi="宋体" w:cs="宋体"/>
                <w:bCs/>
              </w:rPr>
            </w:pPr>
            <w:r>
              <w:rPr>
                <w:rFonts w:ascii="Arial" w:hAnsi="Arial" w:cs="Arial"/>
                <w:kern w:val="0"/>
                <w:sz w:val="22"/>
                <w:szCs w:val="22"/>
              </w:rPr>
              <w:t>设备设施</w:t>
            </w:r>
          </w:p>
        </w:tc>
        <w:tc>
          <w:tcPr>
            <w:tcW w:w="3514" w:type="pct"/>
            <w:shd w:val="clear" w:color="auto" w:fill="auto"/>
            <w:noWrap/>
            <w:vAlign w:val="center"/>
          </w:tcPr>
          <w:p w14:paraId="3004AEE9">
            <w:pPr>
              <w:widowControl/>
              <w:jc w:val="left"/>
              <w:rPr>
                <w:rFonts w:ascii="宋体" w:hAnsi="宋体" w:cs="宋体"/>
                <w:kern w:val="0"/>
                <w:sz w:val="22"/>
                <w:szCs w:val="22"/>
              </w:rPr>
            </w:pPr>
            <w:r>
              <w:rPr>
                <w:rFonts w:hint="eastAsia" w:ascii="宋体" w:hAnsi="宋体" w:cs="宋体"/>
                <w:kern w:val="0"/>
                <w:sz w:val="22"/>
                <w:szCs w:val="22"/>
              </w:rPr>
              <w:t>工艺流程</w:t>
            </w:r>
          </w:p>
        </w:tc>
      </w:tr>
      <w:tr w14:paraId="4486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75" w:type="pct"/>
            <w:vMerge w:val="continue"/>
            <w:shd w:val="clear" w:color="auto" w:fill="auto"/>
            <w:noWrap/>
            <w:vAlign w:val="center"/>
          </w:tcPr>
          <w:p w14:paraId="572941F9">
            <w:pPr>
              <w:jc w:val="center"/>
              <w:rPr>
                <w:rFonts w:ascii="宋体" w:hAnsi="宋体" w:cs="宋体"/>
                <w:bCs/>
              </w:rPr>
            </w:pPr>
          </w:p>
        </w:tc>
        <w:tc>
          <w:tcPr>
            <w:tcW w:w="1111" w:type="pct"/>
            <w:vMerge w:val="continue"/>
            <w:shd w:val="clear" w:color="auto" w:fill="auto"/>
            <w:vAlign w:val="center"/>
          </w:tcPr>
          <w:p w14:paraId="47029CB9">
            <w:pPr>
              <w:rPr>
                <w:rFonts w:ascii="Arial" w:hAnsi="Arial" w:cs="Arial"/>
                <w:kern w:val="0"/>
                <w:sz w:val="22"/>
                <w:szCs w:val="22"/>
              </w:rPr>
            </w:pPr>
          </w:p>
        </w:tc>
        <w:tc>
          <w:tcPr>
            <w:tcW w:w="3514" w:type="pct"/>
            <w:shd w:val="clear" w:color="auto" w:fill="auto"/>
            <w:noWrap/>
            <w:vAlign w:val="center"/>
          </w:tcPr>
          <w:p w14:paraId="4E2BF0B3">
            <w:pPr>
              <w:widowControl/>
              <w:jc w:val="left"/>
              <w:rPr>
                <w:rFonts w:ascii="宋体" w:hAnsi="宋体" w:cs="宋体"/>
                <w:kern w:val="0"/>
                <w:sz w:val="22"/>
                <w:szCs w:val="22"/>
              </w:rPr>
            </w:pPr>
            <w:r>
              <w:rPr>
                <w:rFonts w:hint="eastAsia" w:ascii="宋体" w:hAnsi="宋体" w:cs="宋体"/>
                <w:kern w:val="0"/>
                <w:sz w:val="22"/>
                <w:szCs w:val="22"/>
              </w:rPr>
              <w:t>设备安全设施配套</w:t>
            </w:r>
          </w:p>
        </w:tc>
      </w:tr>
      <w:tr w14:paraId="3F39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75" w:type="pct"/>
            <w:vMerge w:val="continue"/>
            <w:shd w:val="clear" w:color="auto" w:fill="auto"/>
            <w:noWrap/>
            <w:vAlign w:val="center"/>
          </w:tcPr>
          <w:p w14:paraId="3FE5877F">
            <w:pPr>
              <w:jc w:val="center"/>
              <w:rPr>
                <w:rFonts w:ascii="宋体" w:hAnsi="宋体" w:cs="宋体"/>
                <w:bCs/>
              </w:rPr>
            </w:pPr>
          </w:p>
        </w:tc>
        <w:tc>
          <w:tcPr>
            <w:tcW w:w="1111" w:type="pct"/>
            <w:vMerge w:val="continue"/>
            <w:shd w:val="clear" w:color="auto" w:fill="auto"/>
            <w:vAlign w:val="center"/>
          </w:tcPr>
          <w:p w14:paraId="3565811D">
            <w:pPr>
              <w:rPr>
                <w:rFonts w:ascii="Arial" w:hAnsi="Arial" w:cs="Arial"/>
                <w:kern w:val="0"/>
                <w:sz w:val="22"/>
                <w:szCs w:val="22"/>
              </w:rPr>
            </w:pPr>
          </w:p>
        </w:tc>
        <w:tc>
          <w:tcPr>
            <w:tcW w:w="3514" w:type="pct"/>
            <w:shd w:val="clear" w:color="auto" w:fill="auto"/>
            <w:noWrap/>
            <w:vAlign w:val="center"/>
          </w:tcPr>
          <w:p w14:paraId="506625AD">
            <w:pPr>
              <w:widowControl/>
              <w:jc w:val="left"/>
              <w:rPr>
                <w:rFonts w:ascii="宋体" w:hAnsi="宋体" w:cs="宋体"/>
                <w:kern w:val="0"/>
                <w:sz w:val="22"/>
                <w:szCs w:val="22"/>
              </w:rPr>
            </w:pPr>
            <w:r>
              <w:rPr>
                <w:rFonts w:hint="eastAsia" w:ascii="宋体" w:hAnsi="宋体" w:cs="宋体"/>
                <w:kern w:val="0"/>
                <w:sz w:val="22"/>
                <w:szCs w:val="22"/>
              </w:rPr>
              <w:t>特种设备</w:t>
            </w:r>
          </w:p>
        </w:tc>
      </w:tr>
      <w:tr w14:paraId="4BEC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375" w:type="pct"/>
            <w:vMerge w:val="continue"/>
            <w:shd w:val="clear" w:color="auto" w:fill="auto"/>
            <w:noWrap/>
            <w:vAlign w:val="center"/>
          </w:tcPr>
          <w:p w14:paraId="3BDC87AB">
            <w:pPr>
              <w:jc w:val="center"/>
              <w:rPr>
                <w:rFonts w:ascii="宋体" w:hAnsi="宋体" w:cs="宋体"/>
                <w:bCs/>
              </w:rPr>
            </w:pPr>
          </w:p>
        </w:tc>
        <w:tc>
          <w:tcPr>
            <w:tcW w:w="1111" w:type="pct"/>
            <w:vMerge w:val="continue"/>
            <w:shd w:val="clear" w:color="auto" w:fill="auto"/>
            <w:vAlign w:val="center"/>
          </w:tcPr>
          <w:p w14:paraId="478D3916">
            <w:pPr>
              <w:rPr>
                <w:rFonts w:ascii="Arial" w:hAnsi="Arial" w:cs="Arial"/>
                <w:kern w:val="0"/>
                <w:sz w:val="22"/>
                <w:szCs w:val="22"/>
              </w:rPr>
            </w:pPr>
          </w:p>
        </w:tc>
        <w:tc>
          <w:tcPr>
            <w:tcW w:w="3514" w:type="pct"/>
            <w:shd w:val="clear" w:color="auto" w:fill="auto"/>
            <w:noWrap/>
            <w:vAlign w:val="center"/>
          </w:tcPr>
          <w:p w14:paraId="588EAD5B">
            <w:pPr>
              <w:widowControl/>
              <w:jc w:val="left"/>
              <w:rPr>
                <w:rFonts w:ascii="宋体" w:hAnsi="宋体" w:cs="宋体"/>
                <w:kern w:val="0"/>
                <w:sz w:val="22"/>
                <w:szCs w:val="22"/>
              </w:rPr>
            </w:pPr>
            <w:r>
              <w:rPr>
                <w:rFonts w:hint="eastAsia" w:ascii="宋体" w:hAnsi="宋体" w:cs="宋体"/>
                <w:kern w:val="0"/>
                <w:sz w:val="22"/>
                <w:szCs w:val="22"/>
              </w:rPr>
              <w:t>消防设施设施由承包方提供</w:t>
            </w:r>
          </w:p>
        </w:tc>
      </w:tr>
      <w:tr w14:paraId="251A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25AD9B54">
            <w:pPr>
              <w:jc w:val="center"/>
              <w:rPr>
                <w:rFonts w:ascii="宋体" w:hAnsi="宋体" w:cs="宋体"/>
                <w:bCs/>
              </w:rPr>
            </w:pPr>
          </w:p>
        </w:tc>
        <w:tc>
          <w:tcPr>
            <w:tcW w:w="1111" w:type="pct"/>
            <w:vMerge w:val="continue"/>
            <w:shd w:val="clear" w:color="auto" w:fill="auto"/>
            <w:noWrap/>
            <w:vAlign w:val="bottom"/>
          </w:tcPr>
          <w:p w14:paraId="5D9F2645">
            <w:pPr>
              <w:rPr>
                <w:rFonts w:ascii="宋体" w:hAnsi="宋体" w:cs="宋体"/>
                <w:bCs/>
              </w:rPr>
            </w:pPr>
          </w:p>
        </w:tc>
        <w:tc>
          <w:tcPr>
            <w:tcW w:w="3514" w:type="pct"/>
            <w:shd w:val="clear" w:color="auto" w:fill="auto"/>
            <w:noWrap/>
            <w:vAlign w:val="center"/>
          </w:tcPr>
          <w:p w14:paraId="77BF48C1">
            <w:pPr>
              <w:widowControl/>
              <w:jc w:val="left"/>
              <w:rPr>
                <w:rFonts w:ascii="宋体" w:hAnsi="宋体" w:cs="宋体"/>
                <w:kern w:val="0"/>
                <w:sz w:val="22"/>
                <w:szCs w:val="22"/>
              </w:rPr>
            </w:pPr>
            <w:r>
              <w:rPr>
                <w:rFonts w:hint="eastAsia" w:ascii="宋体" w:hAnsi="宋体" w:cs="宋体"/>
                <w:kern w:val="0"/>
                <w:sz w:val="22"/>
                <w:szCs w:val="22"/>
              </w:rPr>
              <w:t>电气设备</w:t>
            </w:r>
          </w:p>
        </w:tc>
      </w:tr>
      <w:tr w14:paraId="1D7C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7BAE61F3">
            <w:pPr>
              <w:jc w:val="center"/>
              <w:rPr>
                <w:rFonts w:ascii="宋体" w:hAnsi="宋体" w:cs="宋体"/>
                <w:bCs/>
              </w:rPr>
            </w:pPr>
            <w:r>
              <w:rPr>
                <w:rFonts w:hint="eastAsia" w:ascii="宋体" w:hAnsi="宋体" w:cs="宋体"/>
                <w:bCs/>
              </w:rPr>
              <w:t>3</w:t>
            </w:r>
          </w:p>
        </w:tc>
        <w:tc>
          <w:tcPr>
            <w:tcW w:w="1111" w:type="pct"/>
            <w:vMerge w:val="restart"/>
            <w:shd w:val="clear" w:color="auto" w:fill="auto"/>
            <w:noWrap/>
            <w:vAlign w:val="center"/>
          </w:tcPr>
          <w:p w14:paraId="461EFD3B">
            <w:pPr>
              <w:rPr>
                <w:rFonts w:ascii="宋体" w:hAnsi="宋体" w:cs="宋体"/>
                <w:bCs/>
              </w:rPr>
            </w:pPr>
            <w:r>
              <w:rPr>
                <w:rFonts w:hint="eastAsia" w:ascii="宋体" w:hAnsi="宋体" w:cs="宋体"/>
                <w:kern w:val="0"/>
                <w:sz w:val="22"/>
                <w:szCs w:val="22"/>
              </w:rPr>
              <w:t>防护及警示</w:t>
            </w:r>
          </w:p>
        </w:tc>
        <w:tc>
          <w:tcPr>
            <w:tcW w:w="3514" w:type="pct"/>
            <w:shd w:val="clear" w:color="auto" w:fill="auto"/>
            <w:noWrap/>
            <w:vAlign w:val="bottom"/>
          </w:tcPr>
          <w:p w14:paraId="5B280645">
            <w:pPr>
              <w:rPr>
                <w:rFonts w:ascii="宋体" w:hAnsi="宋体" w:cs="宋体"/>
                <w:bCs/>
              </w:rPr>
            </w:pPr>
            <w:r>
              <w:rPr>
                <w:rFonts w:hint="eastAsia" w:ascii="宋体" w:hAnsi="宋体" w:cs="宋体"/>
                <w:kern w:val="0"/>
                <w:sz w:val="22"/>
                <w:szCs w:val="22"/>
              </w:rPr>
              <w:t>安全防护设施配套</w:t>
            </w:r>
          </w:p>
        </w:tc>
      </w:tr>
      <w:tr w14:paraId="6E82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40E1946C">
            <w:pPr>
              <w:jc w:val="center"/>
              <w:rPr>
                <w:rFonts w:ascii="宋体" w:hAnsi="宋体" w:cs="宋体"/>
                <w:bCs/>
              </w:rPr>
            </w:pPr>
          </w:p>
        </w:tc>
        <w:tc>
          <w:tcPr>
            <w:tcW w:w="1111" w:type="pct"/>
            <w:vMerge w:val="continue"/>
            <w:shd w:val="clear" w:color="auto" w:fill="auto"/>
            <w:noWrap/>
            <w:vAlign w:val="bottom"/>
          </w:tcPr>
          <w:p w14:paraId="5B97A1E7">
            <w:pPr>
              <w:rPr>
                <w:rFonts w:ascii="宋体" w:hAnsi="宋体" w:cs="宋体"/>
                <w:bCs/>
              </w:rPr>
            </w:pPr>
          </w:p>
        </w:tc>
        <w:tc>
          <w:tcPr>
            <w:tcW w:w="3514" w:type="pct"/>
            <w:shd w:val="clear" w:color="auto" w:fill="auto"/>
            <w:noWrap/>
            <w:vAlign w:val="bottom"/>
          </w:tcPr>
          <w:p w14:paraId="58F7A9AC">
            <w:pPr>
              <w:rPr>
                <w:rFonts w:ascii="宋体" w:hAnsi="宋体" w:cs="宋体"/>
                <w:bCs/>
              </w:rPr>
            </w:pPr>
            <w:r>
              <w:rPr>
                <w:rFonts w:hint="eastAsia" w:ascii="宋体" w:hAnsi="宋体" w:cs="宋体"/>
                <w:kern w:val="0"/>
                <w:sz w:val="22"/>
                <w:szCs w:val="22"/>
              </w:rPr>
              <w:t>防护设施设计</w:t>
            </w:r>
          </w:p>
        </w:tc>
      </w:tr>
      <w:tr w14:paraId="62D3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4B36BEB3">
            <w:pPr>
              <w:jc w:val="center"/>
              <w:rPr>
                <w:rFonts w:ascii="宋体" w:hAnsi="宋体" w:cs="宋体"/>
                <w:bCs/>
              </w:rPr>
            </w:pPr>
            <w:r>
              <w:rPr>
                <w:rFonts w:hint="eastAsia" w:ascii="宋体" w:hAnsi="宋体" w:cs="宋体"/>
                <w:bCs/>
              </w:rPr>
              <w:t>4</w:t>
            </w:r>
          </w:p>
        </w:tc>
        <w:tc>
          <w:tcPr>
            <w:tcW w:w="1111" w:type="pct"/>
            <w:vMerge w:val="restart"/>
            <w:shd w:val="clear" w:color="auto" w:fill="auto"/>
            <w:noWrap/>
            <w:vAlign w:val="center"/>
          </w:tcPr>
          <w:p w14:paraId="7886280E">
            <w:pPr>
              <w:rPr>
                <w:rFonts w:ascii="宋体" w:hAnsi="宋体" w:cs="宋体"/>
                <w:bCs/>
              </w:rPr>
            </w:pPr>
            <w:r>
              <w:rPr>
                <w:rFonts w:ascii="Arial" w:hAnsi="Arial" w:cs="Arial"/>
                <w:kern w:val="0"/>
                <w:sz w:val="22"/>
                <w:szCs w:val="22"/>
              </w:rPr>
              <w:t>安全技能</w:t>
            </w:r>
          </w:p>
        </w:tc>
        <w:tc>
          <w:tcPr>
            <w:tcW w:w="3514" w:type="pct"/>
            <w:shd w:val="clear" w:color="auto" w:fill="auto"/>
            <w:noWrap/>
            <w:vAlign w:val="center"/>
          </w:tcPr>
          <w:p w14:paraId="29E77518">
            <w:pPr>
              <w:widowControl/>
              <w:jc w:val="left"/>
              <w:rPr>
                <w:rFonts w:ascii="Arial" w:hAnsi="Arial" w:cs="Arial"/>
                <w:kern w:val="0"/>
                <w:sz w:val="22"/>
                <w:szCs w:val="22"/>
              </w:rPr>
            </w:pPr>
            <w:r>
              <w:rPr>
                <w:rFonts w:ascii="Arial" w:hAnsi="Arial" w:cs="Arial"/>
                <w:kern w:val="0"/>
                <w:sz w:val="22"/>
                <w:szCs w:val="22"/>
              </w:rPr>
              <w:t>违章指挥</w:t>
            </w:r>
          </w:p>
        </w:tc>
      </w:tr>
      <w:tr w14:paraId="6203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4C5CE7B8">
            <w:pPr>
              <w:jc w:val="center"/>
              <w:rPr>
                <w:rFonts w:ascii="宋体" w:hAnsi="宋体" w:cs="宋体"/>
                <w:bCs/>
              </w:rPr>
            </w:pPr>
          </w:p>
        </w:tc>
        <w:tc>
          <w:tcPr>
            <w:tcW w:w="1111" w:type="pct"/>
            <w:vMerge w:val="continue"/>
            <w:shd w:val="clear" w:color="auto" w:fill="auto"/>
            <w:noWrap/>
            <w:vAlign w:val="bottom"/>
          </w:tcPr>
          <w:p w14:paraId="34642069">
            <w:pPr>
              <w:rPr>
                <w:rFonts w:ascii="宋体" w:hAnsi="宋体" w:cs="宋体"/>
                <w:bCs/>
              </w:rPr>
            </w:pPr>
          </w:p>
        </w:tc>
        <w:tc>
          <w:tcPr>
            <w:tcW w:w="3514" w:type="pct"/>
            <w:shd w:val="clear" w:color="auto" w:fill="auto"/>
            <w:noWrap/>
            <w:vAlign w:val="center"/>
          </w:tcPr>
          <w:p w14:paraId="340695B0">
            <w:pPr>
              <w:widowControl/>
              <w:jc w:val="left"/>
              <w:rPr>
                <w:rFonts w:ascii="Arial" w:hAnsi="Arial" w:cs="Arial"/>
                <w:kern w:val="0"/>
                <w:sz w:val="22"/>
                <w:szCs w:val="22"/>
              </w:rPr>
            </w:pPr>
            <w:r>
              <w:rPr>
                <w:rFonts w:ascii="Arial" w:hAnsi="Arial" w:cs="Arial"/>
                <w:kern w:val="0"/>
                <w:sz w:val="22"/>
                <w:szCs w:val="22"/>
              </w:rPr>
              <w:t>操作错误</w:t>
            </w:r>
          </w:p>
        </w:tc>
      </w:tr>
      <w:tr w14:paraId="0FAA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0CCA5F0D">
            <w:pPr>
              <w:jc w:val="center"/>
              <w:rPr>
                <w:rFonts w:ascii="宋体" w:hAnsi="宋体" w:cs="宋体"/>
                <w:bCs/>
              </w:rPr>
            </w:pPr>
          </w:p>
        </w:tc>
        <w:tc>
          <w:tcPr>
            <w:tcW w:w="1111" w:type="pct"/>
            <w:vMerge w:val="continue"/>
            <w:shd w:val="clear" w:color="auto" w:fill="auto"/>
            <w:noWrap/>
            <w:vAlign w:val="bottom"/>
          </w:tcPr>
          <w:p w14:paraId="42D98559">
            <w:pPr>
              <w:rPr>
                <w:rFonts w:ascii="宋体" w:hAnsi="宋体" w:cs="宋体"/>
                <w:bCs/>
              </w:rPr>
            </w:pPr>
          </w:p>
        </w:tc>
        <w:tc>
          <w:tcPr>
            <w:tcW w:w="3514" w:type="pct"/>
            <w:shd w:val="clear" w:color="auto" w:fill="auto"/>
            <w:noWrap/>
            <w:vAlign w:val="center"/>
          </w:tcPr>
          <w:p w14:paraId="2D9CD05C">
            <w:pPr>
              <w:widowControl/>
              <w:jc w:val="left"/>
              <w:rPr>
                <w:rFonts w:ascii="Arial" w:hAnsi="Arial" w:cs="Arial"/>
                <w:kern w:val="0"/>
                <w:sz w:val="22"/>
                <w:szCs w:val="22"/>
              </w:rPr>
            </w:pPr>
            <w:r>
              <w:rPr>
                <w:rFonts w:ascii="Arial" w:hAnsi="Arial" w:cs="Arial"/>
                <w:kern w:val="0"/>
                <w:sz w:val="22"/>
                <w:szCs w:val="22"/>
              </w:rPr>
              <w:t>使用不安全设备、工具</w:t>
            </w:r>
          </w:p>
        </w:tc>
      </w:tr>
      <w:tr w14:paraId="30E17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1D5CB06A">
            <w:pPr>
              <w:jc w:val="center"/>
              <w:rPr>
                <w:rFonts w:ascii="宋体" w:hAnsi="宋体" w:cs="宋体"/>
                <w:bCs/>
              </w:rPr>
            </w:pPr>
          </w:p>
        </w:tc>
        <w:tc>
          <w:tcPr>
            <w:tcW w:w="1111" w:type="pct"/>
            <w:vMerge w:val="continue"/>
            <w:shd w:val="clear" w:color="auto" w:fill="auto"/>
            <w:noWrap/>
            <w:vAlign w:val="bottom"/>
          </w:tcPr>
          <w:p w14:paraId="5B897CAA">
            <w:pPr>
              <w:rPr>
                <w:rFonts w:ascii="宋体" w:hAnsi="宋体" w:cs="宋体"/>
                <w:bCs/>
              </w:rPr>
            </w:pPr>
          </w:p>
        </w:tc>
        <w:tc>
          <w:tcPr>
            <w:tcW w:w="3514" w:type="pct"/>
            <w:shd w:val="clear" w:color="auto" w:fill="auto"/>
            <w:noWrap/>
            <w:vAlign w:val="center"/>
          </w:tcPr>
          <w:p w14:paraId="78867740">
            <w:pPr>
              <w:widowControl/>
              <w:jc w:val="left"/>
              <w:rPr>
                <w:rFonts w:ascii="Arial" w:hAnsi="Arial" w:cs="Arial"/>
                <w:kern w:val="0"/>
                <w:sz w:val="22"/>
                <w:szCs w:val="22"/>
              </w:rPr>
            </w:pPr>
            <w:r>
              <w:rPr>
                <w:rFonts w:ascii="Arial" w:hAnsi="Arial" w:cs="Arial"/>
                <w:kern w:val="0"/>
                <w:sz w:val="22"/>
                <w:szCs w:val="22"/>
              </w:rPr>
              <w:t>工具使用错误</w:t>
            </w:r>
          </w:p>
        </w:tc>
      </w:tr>
      <w:tr w14:paraId="5B1D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07B7C147">
            <w:pPr>
              <w:jc w:val="center"/>
              <w:rPr>
                <w:rFonts w:ascii="宋体" w:hAnsi="宋体" w:cs="宋体"/>
                <w:bCs/>
              </w:rPr>
            </w:pPr>
          </w:p>
        </w:tc>
        <w:tc>
          <w:tcPr>
            <w:tcW w:w="1111" w:type="pct"/>
            <w:vMerge w:val="continue"/>
            <w:shd w:val="clear" w:color="auto" w:fill="auto"/>
            <w:noWrap/>
            <w:vAlign w:val="bottom"/>
          </w:tcPr>
          <w:p w14:paraId="7FDA47D2">
            <w:pPr>
              <w:rPr>
                <w:rFonts w:ascii="宋体" w:hAnsi="宋体" w:cs="宋体"/>
                <w:bCs/>
              </w:rPr>
            </w:pPr>
          </w:p>
        </w:tc>
        <w:tc>
          <w:tcPr>
            <w:tcW w:w="3514" w:type="pct"/>
            <w:shd w:val="clear" w:color="auto" w:fill="auto"/>
            <w:noWrap/>
            <w:vAlign w:val="center"/>
          </w:tcPr>
          <w:p w14:paraId="29508EAC">
            <w:pPr>
              <w:widowControl/>
              <w:jc w:val="left"/>
              <w:rPr>
                <w:rFonts w:ascii="Arial" w:hAnsi="Arial" w:cs="Arial"/>
                <w:kern w:val="0"/>
                <w:sz w:val="22"/>
                <w:szCs w:val="22"/>
              </w:rPr>
            </w:pPr>
            <w:r>
              <w:rPr>
                <w:rFonts w:ascii="Arial" w:hAnsi="Arial" w:cs="Arial"/>
                <w:kern w:val="0"/>
                <w:sz w:val="22"/>
                <w:szCs w:val="22"/>
              </w:rPr>
              <w:t>冒险作业</w:t>
            </w:r>
          </w:p>
        </w:tc>
      </w:tr>
      <w:tr w14:paraId="1B46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761AE43F">
            <w:pPr>
              <w:jc w:val="center"/>
              <w:rPr>
                <w:rFonts w:ascii="宋体" w:hAnsi="宋体" w:cs="宋体"/>
                <w:bCs/>
              </w:rPr>
            </w:pPr>
            <w:r>
              <w:rPr>
                <w:rFonts w:hint="eastAsia" w:ascii="宋体" w:hAnsi="宋体" w:cs="宋体"/>
                <w:bCs/>
              </w:rPr>
              <w:t>5</w:t>
            </w:r>
          </w:p>
        </w:tc>
        <w:tc>
          <w:tcPr>
            <w:tcW w:w="1111" w:type="pct"/>
            <w:vMerge w:val="restart"/>
            <w:shd w:val="clear" w:color="auto" w:fill="auto"/>
            <w:noWrap/>
            <w:vAlign w:val="center"/>
          </w:tcPr>
          <w:p w14:paraId="553A3EF1">
            <w:pPr>
              <w:rPr>
                <w:rFonts w:ascii="宋体" w:hAnsi="宋体" w:cs="宋体"/>
                <w:bCs/>
              </w:rPr>
            </w:pPr>
            <w:r>
              <w:rPr>
                <w:rFonts w:hint="eastAsia" w:ascii="宋体" w:hAnsi="宋体" w:cs="宋体"/>
                <w:kern w:val="0"/>
                <w:sz w:val="22"/>
                <w:szCs w:val="22"/>
              </w:rPr>
              <w:t>个人防护</w:t>
            </w:r>
          </w:p>
        </w:tc>
        <w:tc>
          <w:tcPr>
            <w:tcW w:w="3514" w:type="pct"/>
            <w:shd w:val="clear" w:color="auto" w:fill="auto"/>
            <w:noWrap/>
            <w:vAlign w:val="center"/>
          </w:tcPr>
          <w:p w14:paraId="4B76CB48">
            <w:pPr>
              <w:widowControl/>
              <w:jc w:val="left"/>
              <w:rPr>
                <w:rFonts w:ascii="宋体" w:hAnsi="宋体" w:cs="宋体"/>
                <w:kern w:val="0"/>
                <w:sz w:val="22"/>
                <w:szCs w:val="22"/>
              </w:rPr>
            </w:pPr>
            <w:r>
              <w:rPr>
                <w:rFonts w:hint="eastAsia" w:ascii="宋体" w:hAnsi="宋体" w:cs="宋体"/>
                <w:kern w:val="0"/>
                <w:sz w:val="22"/>
                <w:szCs w:val="22"/>
              </w:rPr>
              <w:t>个人防护设备的错误使用</w:t>
            </w:r>
          </w:p>
        </w:tc>
      </w:tr>
      <w:tr w14:paraId="66A4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36C574AC">
            <w:pPr>
              <w:jc w:val="center"/>
              <w:rPr>
                <w:rFonts w:ascii="宋体" w:hAnsi="宋体" w:cs="宋体"/>
                <w:bCs/>
              </w:rPr>
            </w:pPr>
          </w:p>
        </w:tc>
        <w:tc>
          <w:tcPr>
            <w:tcW w:w="1111" w:type="pct"/>
            <w:vMerge w:val="continue"/>
            <w:shd w:val="clear" w:color="auto" w:fill="auto"/>
            <w:noWrap/>
            <w:vAlign w:val="bottom"/>
          </w:tcPr>
          <w:p w14:paraId="16AA1421">
            <w:pPr>
              <w:rPr>
                <w:rFonts w:ascii="宋体" w:hAnsi="宋体" w:cs="宋体"/>
                <w:bCs/>
              </w:rPr>
            </w:pPr>
          </w:p>
        </w:tc>
        <w:tc>
          <w:tcPr>
            <w:tcW w:w="3514" w:type="pct"/>
            <w:shd w:val="clear" w:color="auto" w:fill="auto"/>
            <w:noWrap/>
            <w:vAlign w:val="center"/>
          </w:tcPr>
          <w:p w14:paraId="0C1212C5">
            <w:pPr>
              <w:widowControl/>
              <w:jc w:val="left"/>
              <w:rPr>
                <w:rFonts w:ascii="宋体" w:hAnsi="宋体" w:cs="宋体"/>
                <w:kern w:val="0"/>
                <w:sz w:val="22"/>
                <w:szCs w:val="22"/>
              </w:rPr>
            </w:pPr>
            <w:r>
              <w:rPr>
                <w:rFonts w:hint="eastAsia" w:ascii="宋体" w:hAnsi="宋体" w:cs="宋体"/>
                <w:kern w:val="0"/>
                <w:sz w:val="22"/>
                <w:szCs w:val="22"/>
              </w:rPr>
              <w:t>不安全穿戴</w:t>
            </w:r>
          </w:p>
        </w:tc>
      </w:tr>
      <w:tr w14:paraId="4153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restart"/>
            <w:shd w:val="clear" w:color="auto" w:fill="auto"/>
            <w:noWrap/>
            <w:vAlign w:val="center"/>
          </w:tcPr>
          <w:p w14:paraId="5CDFEAB1">
            <w:pPr>
              <w:jc w:val="center"/>
              <w:rPr>
                <w:rFonts w:ascii="宋体" w:hAnsi="宋体" w:cs="宋体"/>
                <w:bCs/>
              </w:rPr>
            </w:pPr>
            <w:r>
              <w:rPr>
                <w:rFonts w:hint="eastAsia" w:ascii="宋体" w:hAnsi="宋体" w:cs="宋体"/>
                <w:bCs/>
              </w:rPr>
              <w:t>6</w:t>
            </w:r>
          </w:p>
        </w:tc>
        <w:tc>
          <w:tcPr>
            <w:tcW w:w="1111" w:type="pct"/>
            <w:vMerge w:val="restart"/>
            <w:shd w:val="clear" w:color="auto" w:fill="auto"/>
            <w:noWrap/>
            <w:vAlign w:val="center"/>
          </w:tcPr>
          <w:p w14:paraId="35897BF7">
            <w:pPr>
              <w:rPr>
                <w:rFonts w:ascii="宋体" w:hAnsi="宋体" w:cs="宋体"/>
                <w:bCs/>
              </w:rPr>
            </w:pPr>
            <w:r>
              <w:rPr>
                <w:rFonts w:hint="eastAsia" w:ascii="宋体" w:hAnsi="宋体" w:cs="宋体"/>
                <w:kern w:val="0"/>
                <w:sz w:val="22"/>
                <w:szCs w:val="22"/>
              </w:rPr>
              <w:t>作业许可</w:t>
            </w:r>
          </w:p>
        </w:tc>
        <w:tc>
          <w:tcPr>
            <w:tcW w:w="3514" w:type="pct"/>
            <w:shd w:val="clear" w:color="auto" w:fill="auto"/>
            <w:noWrap/>
            <w:vAlign w:val="center"/>
          </w:tcPr>
          <w:p w14:paraId="674E86C2">
            <w:pPr>
              <w:widowControl/>
              <w:jc w:val="left"/>
              <w:rPr>
                <w:rFonts w:ascii="宋体" w:hAnsi="宋体" w:cs="宋体"/>
                <w:kern w:val="0"/>
                <w:sz w:val="22"/>
                <w:szCs w:val="22"/>
              </w:rPr>
            </w:pPr>
            <w:r>
              <w:rPr>
                <w:rFonts w:hint="eastAsia" w:ascii="宋体" w:hAnsi="宋体" w:cs="宋体"/>
                <w:kern w:val="0"/>
                <w:sz w:val="22"/>
                <w:szCs w:val="22"/>
              </w:rPr>
              <w:t>作业前未办理许可手续</w:t>
            </w:r>
          </w:p>
        </w:tc>
      </w:tr>
      <w:tr w14:paraId="21BA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5" w:type="pct"/>
            <w:vMerge w:val="continue"/>
            <w:shd w:val="clear" w:color="auto" w:fill="auto"/>
            <w:noWrap/>
            <w:vAlign w:val="center"/>
          </w:tcPr>
          <w:p w14:paraId="7943B737">
            <w:pPr>
              <w:jc w:val="center"/>
              <w:rPr>
                <w:rFonts w:ascii="宋体" w:hAnsi="宋体" w:cs="宋体"/>
                <w:bCs/>
              </w:rPr>
            </w:pPr>
          </w:p>
        </w:tc>
        <w:tc>
          <w:tcPr>
            <w:tcW w:w="1111" w:type="pct"/>
            <w:vMerge w:val="continue"/>
            <w:shd w:val="clear" w:color="auto" w:fill="auto"/>
            <w:noWrap/>
            <w:vAlign w:val="bottom"/>
          </w:tcPr>
          <w:p w14:paraId="0EF7BE69">
            <w:pPr>
              <w:rPr>
                <w:rFonts w:ascii="宋体" w:hAnsi="宋体" w:cs="宋体"/>
                <w:bCs/>
              </w:rPr>
            </w:pPr>
          </w:p>
        </w:tc>
        <w:tc>
          <w:tcPr>
            <w:tcW w:w="3514" w:type="pct"/>
            <w:shd w:val="clear" w:color="auto" w:fill="auto"/>
            <w:noWrap/>
            <w:vAlign w:val="center"/>
          </w:tcPr>
          <w:p w14:paraId="064FF616">
            <w:pPr>
              <w:widowControl/>
              <w:jc w:val="left"/>
              <w:rPr>
                <w:rFonts w:ascii="宋体" w:hAnsi="宋体" w:cs="宋体"/>
                <w:kern w:val="0"/>
                <w:sz w:val="22"/>
                <w:szCs w:val="22"/>
              </w:rPr>
            </w:pPr>
            <w:r>
              <w:rPr>
                <w:rFonts w:hint="eastAsia" w:ascii="宋体" w:hAnsi="宋体" w:cs="宋体"/>
                <w:kern w:val="0"/>
                <w:sz w:val="22"/>
                <w:szCs w:val="22"/>
              </w:rPr>
              <w:t>安全措施的落实</w:t>
            </w:r>
          </w:p>
        </w:tc>
      </w:tr>
    </w:tbl>
    <w:p w14:paraId="3B4712B0"/>
    <w:p w14:paraId="559C5F5A">
      <w:pPr>
        <w:rPr>
          <w:sz w:val="24"/>
        </w:rPr>
      </w:pPr>
      <w:r>
        <w:rPr>
          <w:rFonts w:hint="eastAsia"/>
          <w:sz w:val="24"/>
        </w:rPr>
        <w:t>五、</w:t>
      </w:r>
      <w:r>
        <w:rPr>
          <w:rFonts w:hint="eastAsia" w:ascii="宋体" w:hAnsi="宋体" w:cs="宋体"/>
          <w:bCs/>
          <w:kern w:val="0"/>
          <w:sz w:val="22"/>
          <w:szCs w:val="22"/>
        </w:rPr>
        <w:t>环境保护</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853"/>
        <w:gridCol w:w="5861"/>
      </w:tblGrid>
      <w:tr w14:paraId="419F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trPr>
        <w:tc>
          <w:tcPr>
            <w:tcW w:w="375" w:type="pct"/>
            <w:shd w:val="clear" w:color="auto" w:fill="auto"/>
            <w:noWrap/>
            <w:vAlign w:val="bottom"/>
          </w:tcPr>
          <w:p w14:paraId="7F3BDEE8">
            <w:pPr>
              <w:jc w:val="center"/>
              <w:rPr>
                <w:rFonts w:ascii="宋体" w:hAnsi="宋体" w:cs="宋体"/>
                <w:bCs/>
              </w:rPr>
            </w:pPr>
            <w:r>
              <w:rPr>
                <w:rFonts w:hint="eastAsia" w:ascii="宋体" w:hAnsi="宋体" w:cs="宋体"/>
                <w:bCs/>
              </w:rPr>
              <w:t>序号</w:t>
            </w:r>
          </w:p>
        </w:tc>
        <w:tc>
          <w:tcPr>
            <w:tcW w:w="1111" w:type="pct"/>
            <w:shd w:val="clear" w:color="auto" w:fill="auto"/>
            <w:noWrap/>
            <w:vAlign w:val="bottom"/>
          </w:tcPr>
          <w:p w14:paraId="2B6AF6D8">
            <w:pPr>
              <w:jc w:val="center"/>
              <w:rPr>
                <w:rFonts w:ascii="宋体" w:hAnsi="宋体" w:cs="宋体"/>
                <w:bCs/>
              </w:rPr>
            </w:pPr>
            <w:r>
              <w:rPr>
                <w:rFonts w:hint="eastAsia" w:ascii="宋体" w:hAnsi="宋体" w:cs="宋体"/>
                <w:bCs/>
              </w:rPr>
              <w:t>名称</w:t>
            </w:r>
          </w:p>
        </w:tc>
        <w:tc>
          <w:tcPr>
            <w:tcW w:w="3514" w:type="pct"/>
            <w:shd w:val="clear" w:color="auto" w:fill="auto"/>
            <w:noWrap/>
            <w:vAlign w:val="bottom"/>
          </w:tcPr>
          <w:p w14:paraId="23DBBC62">
            <w:pPr>
              <w:jc w:val="center"/>
              <w:rPr>
                <w:rFonts w:ascii="宋体" w:hAnsi="宋体" w:cs="宋体"/>
                <w:bCs/>
              </w:rPr>
            </w:pPr>
            <w:r>
              <w:rPr>
                <w:rFonts w:hint="eastAsia" w:ascii="宋体" w:hAnsi="宋体" w:cs="宋体"/>
                <w:bCs/>
              </w:rPr>
              <w:t>内容</w:t>
            </w:r>
          </w:p>
        </w:tc>
      </w:tr>
      <w:tr w14:paraId="47223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75" w:type="pct"/>
            <w:vMerge w:val="restart"/>
            <w:shd w:val="clear" w:color="auto" w:fill="auto"/>
            <w:noWrap/>
            <w:vAlign w:val="center"/>
          </w:tcPr>
          <w:p w14:paraId="6D28E3F8">
            <w:pPr>
              <w:jc w:val="center"/>
              <w:rPr>
                <w:rFonts w:ascii="宋体" w:hAnsi="宋体" w:cs="宋体"/>
                <w:bCs/>
              </w:rPr>
            </w:pPr>
            <w:r>
              <w:rPr>
                <w:rFonts w:hint="eastAsia" w:ascii="宋体" w:hAnsi="宋体" w:cs="宋体"/>
                <w:bCs/>
              </w:rPr>
              <w:t>1</w:t>
            </w:r>
          </w:p>
        </w:tc>
        <w:tc>
          <w:tcPr>
            <w:tcW w:w="1111" w:type="pct"/>
            <w:vMerge w:val="restart"/>
            <w:shd w:val="clear" w:color="auto" w:fill="auto"/>
            <w:noWrap/>
            <w:vAlign w:val="center"/>
          </w:tcPr>
          <w:p w14:paraId="2761160E">
            <w:pPr>
              <w:rPr>
                <w:rFonts w:ascii="宋体" w:hAnsi="宋体" w:cs="宋体"/>
                <w:bCs/>
              </w:rPr>
            </w:pPr>
            <w:r>
              <w:rPr>
                <w:rFonts w:hint="eastAsia" w:ascii="宋体" w:hAnsi="宋体" w:cs="宋体"/>
                <w:bCs/>
                <w:kern w:val="0"/>
                <w:sz w:val="22"/>
                <w:szCs w:val="22"/>
              </w:rPr>
              <w:t>环境保护</w:t>
            </w:r>
          </w:p>
        </w:tc>
        <w:tc>
          <w:tcPr>
            <w:tcW w:w="3514" w:type="pct"/>
            <w:shd w:val="clear" w:color="auto" w:fill="auto"/>
            <w:noWrap/>
            <w:vAlign w:val="bottom"/>
          </w:tcPr>
          <w:p w14:paraId="0940D953">
            <w:pPr>
              <w:rPr>
                <w:rFonts w:ascii="宋体" w:hAnsi="宋体" w:cs="宋体"/>
                <w:bCs/>
              </w:rPr>
            </w:pPr>
            <w:r>
              <w:rPr>
                <w:rFonts w:hint="eastAsia" w:ascii="宋体" w:hAnsi="宋体" w:cs="宋体"/>
                <w:kern w:val="0"/>
                <w:sz w:val="22"/>
                <w:szCs w:val="22"/>
              </w:rPr>
              <w:t>生活垃圾处置</w:t>
            </w:r>
          </w:p>
        </w:tc>
      </w:tr>
      <w:tr w14:paraId="3D17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375" w:type="pct"/>
            <w:vMerge w:val="continue"/>
            <w:shd w:val="clear" w:color="auto" w:fill="auto"/>
            <w:noWrap/>
            <w:vAlign w:val="center"/>
          </w:tcPr>
          <w:p w14:paraId="485EFDAC">
            <w:pPr>
              <w:jc w:val="center"/>
              <w:rPr>
                <w:rFonts w:ascii="宋体" w:hAnsi="宋体" w:cs="宋体"/>
                <w:bCs/>
              </w:rPr>
            </w:pPr>
          </w:p>
        </w:tc>
        <w:tc>
          <w:tcPr>
            <w:tcW w:w="1111" w:type="pct"/>
            <w:vMerge w:val="continue"/>
            <w:shd w:val="clear" w:color="auto" w:fill="auto"/>
            <w:noWrap/>
            <w:vAlign w:val="center"/>
          </w:tcPr>
          <w:p w14:paraId="61FA81D5">
            <w:pPr>
              <w:rPr>
                <w:rFonts w:ascii="Arial" w:hAnsi="Arial" w:cs="Arial"/>
                <w:kern w:val="0"/>
                <w:sz w:val="22"/>
                <w:szCs w:val="22"/>
              </w:rPr>
            </w:pPr>
          </w:p>
        </w:tc>
        <w:tc>
          <w:tcPr>
            <w:tcW w:w="3514" w:type="pct"/>
            <w:shd w:val="clear" w:color="auto" w:fill="auto"/>
            <w:noWrap/>
            <w:vAlign w:val="bottom"/>
          </w:tcPr>
          <w:p w14:paraId="7BC13535">
            <w:pPr>
              <w:rPr>
                <w:rFonts w:ascii="宋体" w:hAnsi="宋体" w:cs="宋体"/>
                <w:bCs/>
              </w:rPr>
            </w:pPr>
            <w:r>
              <w:rPr>
                <w:rFonts w:hint="eastAsia" w:ascii="宋体" w:hAnsi="宋体" w:cs="宋体"/>
                <w:kern w:val="0"/>
                <w:sz w:val="22"/>
                <w:szCs w:val="22"/>
              </w:rPr>
              <w:t>危险化学品处置（按照国家危化品目录执行，如未列入的不属于危化品）</w:t>
            </w:r>
          </w:p>
        </w:tc>
      </w:tr>
    </w:tbl>
    <w:p w14:paraId="48AB06D3"/>
    <w:p w14:paraId="168EA069">
      <w:pPr>
        <w:rPr>
          <w:sz w:val="24"/>
        </w:rPr>
      </w:pPr>
      <w:r>
        <w:rPr>
          <w:rFonts w:hint="eastAsia"/>
          <w:sz w:val="24"/>
        </w:rPr>
        <w:t>六、</w:t>
      </w:r>
      <w:r>
        <w:rPr>
          <w:rFonts w:ascii="Arial" w:hAnsi="Arial" w:cs="Arial"/>
          <w:kern w:val="0"/>
          <w:sz w:val="22"/>
          <w:szCs w:val="22"/>
        </w:rPr>
        <w:t>职业病危害</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853"/>
        <w:gridCol w:w="5861"/>
      </w:tblGrid>
      <w:tr w14:paraId="7F95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trPr>
        <w:tc>
          <w:tcPr>
            <w:tcW w:w="375" w:type="pct"/>
            <w:shd w:val="clear" w:color="auto" w:fill="auto"/>
            <w:noWrap/>
            <w:vAlign w:val="bottom"/>
          </w:tcPr>
          <w:p w14:paraId="6EBC993B">
            <w:pPr>
              <w:jc w:val="center"/>
              <w:rPr>
                <w:rFonts w:ascii="宋体" w:hAnsi="宋体" w:cs="宋体"/>
                <w:bCs/>
              </w:rPr>
            </w:pPr>
            <w:r>
              <w:rPr>
                <w:rFonts w:hint="eastAsia" w:ascii="宋体" w:hAnsi="宋体" w:cs="宋体"/>
                <w:bCs/>
              </w:rPr>
              <w:t>序号</w:t>
            </w:r>
          </w:p>
        </w:tc>
        <w:tc>
          <w:tcPr>
            <w:tcW w:w="1111" w:type="pct"/>
            <w:shd w:val="clear" w:color="auto" w:fill="auto"/>
            <w:noWrap/>
            <w:vAlign w:val="bottom"/>
          </w:tcPr>
          <w:p w14:paraId="4811C106">
            <w:pPr>
              <w:jc w:val="center"/>
              <w:rPr>
                <w:rFonts w:ascii="宋体" w:hAnsi="宋体" w:cs="宋体"/>
                <w:bCs/>
              </w:rPr>
            </w:pPr>
            <w:r>
              <w:rPr>
                <w:rFonts w:hint="eastAsia" w:ascii="宋体" w:hAnsi="宋体" w:cs="宋体"/>
                <w:bCs/>
              </w:rPr>
              <w:t>名称</w:t>
            </w:r>
          </w:p>
        </w:tc>
        <w:tc>
          <w:tcPr>
            <w:tcW w:w="3514" w:type="pct"/>
            <w:shd w:val="clear" w:color="auto" w:fill="auto"/>
            <w:noWrap/>
            <w:vAlign w:val="bottom"/>
          </w:tcPr>
          <w:p w14:paraId="46BD27EB">
            <w:pPr>
              <w:jc w:val="center"/>
              <w:rPr>
                <w:rFonts w:ascii="宋体" w:hAnsi="宋体" w:cs="宋体"/>
                <w:bCs/>
              </w:rPr>
            </w:pPr>
            <w:r>
              <w:rPr>
                <w:rFonts w:hint="eastAsia" w:ascii="宋体" w:hAnsi="宋体" w:cs="宋体"/>
                <w:bCs/>
              </w:rPr>
              <w:t>内容</w:t>
            </w:r>
          </w:p>
        </w:tc>
      </w:tr>
      <w:tr w14:paraId="697E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75" w:type="pct"/>
            <w:vMerge w:val="restart"/>
            <w:shd w:val="clear" w:color="auto" w:fill="auto"/>
            <w:noWrap/>
            <w:vAlign w:val="center"/>
          </w:tcPr>
          <w:p w14:paraId="66F43F06">
            <w:pPr>
              <w:jc w:val="center"/>
              <w:rPr>
                <w:rFonts w:ascii="宋体" w:hAnsi="宋体" w:cs="宋体"/>
                <w:bCs/>
              </w:rPr>
            </w:pPr>
            <w:r>
              <w:rPr>
                <w:rFonts w:hint="eastAsia" w:ascii="宋体" w:hAnsi="宋体" w:cs="宋体"/>
                <w:bCs/>
              </w:rPr>
              <w:t>1</w:t>
            </w:r>
          </w:p>
        </w:tc>
        <w:tc>
          <w:tcPr>
            <w:tcW w:w="1111" w:type="pct"/>
            <w:vMerge w:val="restart"/>
            <w:shd w:val="clear" w:color="auto" w:fill="auto"/>
            <w:noWrap/>
            <w:vAlign w:val="center"/>
          </w:tcPr>
          <w:p w14:paraId="4A8EB86F">
            <w:pPr>
              <w:rPr>
                <w:rFonts w:ascii="宋体" w:hAnsi="宋体" w:cs="宋体"/>
                <w:bCs/>
              </w:rPr>
            </w:pPr>
            <w:r>
              <w:rPr>
                <w:rFonts w:ascii="Arial" w:hAnsi="Arial" w:cs="Arial"/>
                <w:kern w:val="0"/>
                <w:sz w:val="22"/>
                <w:szCs w:val="22"/>
              </w:rPr>
              <w:t>职业病危害</w:t>
            </w:r>
          </w:p>
        </w:tc>
        <w:tc>
          <w:tcPr>
            <w:tcW w:w="3514" w:type="pct"/>
            <w:shd w:val="clear" w:color="auto" w:fill="auto"/>
            <w:noWrap/>
            <w:vAlign w:val="bottom"/>
          </w:tcPr>
          <w:p w14:paraId="4310D2B7">
            <w:pPr>
              <w:rPr>
                <w:rFonts w:ascii="宋体" w:hAnsi="宋体" w:cs="宋体"/>
                <w:bCs/>
              </w:rPr>
            </w:pPr>
            <w:r>
              <w:rPr>
                <w:rFonts w:ascii="Arial" w:hAnsi="Arial" w:cs="Arial"/>
                <w:kern w:val="0"/>
                <w:sz w:val="22"/>
                <w:szCs w:val="22"/>
              </w:rPr>
              <w:t>职业病危害超标</w:t>
            </w:r>
          </w:p>
        </w:tc>
      </w:tr>
      <w:tr w14:paraId="5611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375" w:type="pct"/>
            <w:vMerge w:val="continue"/>
            <w:shd w:val="clear" w:color="auto" w:fill="auto"/>
            <w:noWrap/>
            <w:vAlign w:val="center"/>
          </w:tcPr>
          <w:p w14:paraId="692B32C0">
            <w:pPr>
              <w:jc w:val="center"/>
              <w:rPr>
                <w:rFonts w:ascii="宋体" w:hAnsi="宋体" w:cs="宋体"/>
                <w:bCs/>
              </w:rPr>
            </w:pPr>
          </w:p>
        </w:tc>
        <w:tc>
          <w:tcPr>
            <w:tcW w:w="1111" w:type="pct"/>
            <w:vMerge w:val="continue"/>
            <w:shd w:val="clear" w:color="auto" w:fill="auto"/>
            <w:noWrap/>
            <w:vAlign w:val="bottom"/>
          </w:tcPr>
          <w:p w14:paraId="75387A38">
            <w:pPr>
              <w:rPr>
                <w:rFonts w:ascii="Arial" w:hAnsi="Arial" w:cs="Arial"/>
                <w:kern w:val="0"/>
                <w:sz w:val="22"/>
                <w:szCs w:val="22"/>
              </w:rPr>
            </w:pPr>
          </w:p>
        </w:tc>
        <w:tc>
          <w:tcPr>
            <w:tcW w:w="3514" w:type="pct"/>
            <w:shd w:val="clear" w:color="auto" w:fill="auto"/>
            <w:noWrap/>
            <w:vAlign w:val="bottom"/>
          </w:tcPr>
          <w:p w14:paraId="471DA57C">
            <w:pPr>
              <w:rPr>
                <w:rFonts w:ascii="宋体" w:hAnsi="宋体" w:cs="宋体"/>
                <w:bCs/>
              </w:rPr>
            </w:pPr>
            <w:r>
              <w:rPr>
                <w:rFonts w:ascii="Arial" w:hAnsi="Arial" w:cs="Arial"/>
                <w:kern w:val="0"/>
                <w:sz w:val="22"/>
                <w:szCs w:val="22"/>
              </w:rPr>
              <w:t>职业病危害因素标识不清</w:t>
            </w:r>
          </w:p>
        </w:tc>
      </w:tr>
    </w:tbl>
    <w:p w14:paraId="2DA48A6F"/>
    <w:p w14:paraId="4BB0FA57">
      <w:pPr>
        <w:pStyle w:val="3"/>
      </w:pPr>
      <w:bookmarkStart w:id="536" w:name="_Toc152766750"/>
      <w:r>
        <w:rPr>
          <w:rFonts w:hint="eastAsia"/>
        </w:rPr>
        <w:t xml:space="preserve">附件8 </w:t>
      </w:r>
      <w:r>
        <w:t>安全、文明施工管理规定</w:t>
      </w:r>
      <w:bookmarkEnd w:id="536"/>
    </w:p>
    <w:p w14:paraId="29C6D334">
      <w:pPr>
        <w:spacing w:line="400" w:lineRule="exact"/>
        <w:ind w:firstLine="420"/>
        <w:rPr>
          <w:rFonts w:ascii="宋体" w:hAnsi="宋体"/>
          <w:szCs w:val="21"/>
        </w:rPr>
      </w:pPr>
      <w:r>
        <w:rPr>
          <w:rFonts w:hint="eastAsia" w:ascii="宋体" w:hAnsi="宋体"/>
          <w:szCs w:val="21"/>
        </w:rPr>
        <w:t>为加强安全、文明施工管理，保障施工从业人员的作业条件和工作、生活环境，</w:t>
      </w:r>
      <w:r>
        <w:rPr>
          <w:rFonts w:ascii="宋体" w:hAnsi="宋体"/>
          <w:szCs w:val="21"/>
        </w:rPr>
        <w:t xml:space="preserve"> </w:t>
      </w:r>
      <w:r>
        <w:rPr>
          <w:rFonts w:hint="eastAsia" w:ascii="宋体" w:hAnsi="宋体"/>
          <w:szCs w:val="21"/>
        </w:rPr>
        <w:t>承包方履行合同应当遵守国家法律法规、规章制度、操作规程、华新管理制度等，包括但不仅限于：</w:t>
      </w:r>
    </w:p>
    <w:p w14:paraId="44682EFF">
      <w:pPr>
        <w:spacing w:line="400" w:lineRule="exact"/>
        <w:ind w:firstLine="420"/>
        <w:rPr>
          <w:rFonts w:ascii="宋体" w:hAnsi="宋体"/>
          <w:szCs w:val="21"/>
        </w:rPr>
      </w:pPr>
      <w:r>
        <w:rPr>
          <w:rFonts w:hint="eastAsia" w:ascii="宋体" w:hAnsi="宋体"/>
          <w:szCs w:val="21"/>
        </w:rPr>
        <w:t>《中华人民共和国安全生产法》、《中华人民共和国建筑法》、《建设工程安全生产管理条例》、《华新水泥健康安全管理系统标准》、《华新水泥股份有限公司合同方健康与安全管理规定》、《华新水泥股份有限公司高空作业程序》及本管理规定等。</w:t>
      </w:r>
    </w:p>
    <w:p w14:paraId="4B8C671C">
      <w:pPr>
        <w:spacing w:line="400" w:lineRule="exact"/>
        <w:rPr>
          <w:rFonts w:ascii="宋体" w:hAnsi="宋体"/>
          <w:b/>
          <w:szCs w:val="21"/>
        </w:rPr>
      </w:pPr>
      <w:r>
        <w:rPr>
          <w:rFonts w:hint="eastAsia" w:ascii="宋体" w:hAnsi="宋体"/>
          <w:b/>
          <w:szCs w:val="21"/>
        </w:rPr>
        <w:t>一．安全管理</w:t>
      </w:r>
    </w:p>
    <w:p w14:paraId="109B4054">
      <w:pPr>
        <w:spacing w:line="400" w:lineRule="exact"/>
        <w:ind w:firstLine="420"/>
        <w:rPr>
          <w:rFonts w:ascii="宋体" w:hAnsi="宋体"/>
          <w:szCs w:val="21"/>
        </w:rPr>
      </w:pPr>
      <w:r>
        <w:rPr>
          <w:rFonts w:hint="eastAsia" w:ascii="宋体" w:hAnsi="宋体"/>
          <w:szCs w:val="21"/>
        </w:rPr>
        <w:t>1.1 承包人在合同履行前熟知与合同履行有关的安全因素、华新安全管理制度等，并对与履行合同有关人员进行充分培训，培训内容包括但不限于国家法律法规、安全制度、安全操作规程、现场安全因素、甲方安全管理制度。</w:t>
      </w:r>
    </w:p>
    <w:p w14:paraId="4C1C8D64">
      <w:pPr>
        <w:spacing w:line="400" w:lineRule="exact"/>
        <w:ind w:firstLine="420"/>
        <w:rPr>
          <w:rFonts w:ascii="宋体" w:hAnsi="宋体"/>
          <w:szCs w:val="21"/>
        </w:rPr>
      </w:pPr>
      <w:r>
        <w:rPr>
          <w:rFonts w:hint="eastAsia" w:ascii="宋体" w:hAnsi="宋体"/>
          <w:szCs w:val="21"/>
        </w:rPr>
        <w:t>1.2 承包人应遵守建设工程安全生产、文明施工的有关管理规定，严格按安全、文明标准组织施工，并随时接受行业安全检查人员依法实施的监督检查，消除事故隐患，采取必要的安全防护措施，如安全网的投入使用、临边及洞口的安全防护、高空作业防护、垂直交叉作业防护等与安全生产相关的防护措施。因承包人安全措施不力造成事故的责任和因此起发生的费用，由承包人承担。</w:t>
      </w:r>
    </w:p>
    <w:p w14:paraId="3FD9D91C">
      <w:pPr>
        <w:spacing w:line="400" w:lineRule="exact"/>
        <w:ind w:firstLine="420"/>
        <w:rPr>
          <w:rFonts w:ascii="宋体" w:hAnsi="宋体"/>
          <w:szCs w:val="21"/>
        </w:rPr>
      </w:pPr>
      <w:r>
        <w:rPr>
          <w:rFonts w:hint="eastAsia" w:ascii="宋体" w:hAnsi="宋体"/>
          <w:szCs w:val="21"/>
        </w:rPr>
        <w:t>1.3 不干预、不阻挠业主执行本规定的法律法规、规章制度、操作规程、国家行业安全标准、华新管理制度，否则业主有权要求承包方限时整改，整改不合格业主可解除合同，同时承包方不得以此为由追究业主违约责任或要求增加费用。</w:t>
      </w:r>
    </w:p>
    <w:p w14:paraId="6C25C14E">
      <w:pPr>
        <w:spacing w:line="400" w:lineRule="exact"/>
        <w:ind w:firstLine="420"/>
        <w:rPr>
          <w:rFonts w:ascii="宋体" w:hAnsi="宋体"/>
          <w:szCs w:val="21"/>
        </w:rPr>
      </w:pPr>
      <w:r>
        <w:rPr>
          <w:rFonts w:hint="eastAsia" w:ascii="宋体" w:hAnsi="宋体"/>
          <w:szCs w:val="21"/>
        </w:rPr>
        <w:t>1.4 安全进行施工是承包方的主要义务，除非业主指令或业主操作是安全事故发生的主要原因，承包方不因本规定而要求业主对事故造成的后果及经济损失承担任何责任。</w:t>
      </w:r>
    </w:p>
    <w:p w14:paraId="0659859D">
      <w:pPr>
        <w:spacing w:line="400" w:lineRule="exact"/>
        <w:ind w:firstLine="420"/>
        <w:rPr>
          <w:rFonts w:ascii="宋体" w:hAnsi="宋体"/>
          <w:szCs w:val="21"/>
        </w:rPr>
      </w:pPr>
      <w:r>
        <w:rPr>
          <w:rFonts w:hint="eastAsia" w:ascii="宋体" w:hAnsi="宋体"/>
          <w:szCs w:val="21"/>
        </w:rPr>
        <w:t>1.5 承包人应遵守建设工程安全生产、文明施工的有关管理规定，严格按安全、文明标准组织施工，并随时接受行业安全检查人员依法实施的监督检查，采取必要的安全防护措施，消除事故隐患，因承包人安全措施不力造成事故的责任和因此发生的费用，由承包人承担。</w:t>
      </w:r>
    </w:p>
    <w:p w14:paraId="4B70389E">
      <w:pPr>
        <w:spacing w:line="400" w:lineRule="exact"/>
        <w:rPr>
          <w:rFonts w:ascii="宋体" w:hAnsi="宋体"/>
          <w:b/>
          <w:szCs w:val="21"/>
        </w:rPr>
      </w:pPr>
      <w:r>
        <w:rPr>
          <w:rFonts w:hint="eastAsia" w:ascii="宋体" w:hAnsi="宋体"/>
          <w:b/>
          <w:szCs w:val="21"/>
        </w:rPr>
        <w:t>二．文明施工与环境保护管理</w:t>
      </w:r>
    </w:p>
    <w:p w14:paraId="71044FB9">
      <w:pPr>
        <w:spacing w:line="400" w:lineRule="exact"/>
        <w:ind w:firstLine="420"/>
        <w:rPr>
          <w:rFonts w:ascii="宋体" w:hAnsi="宋体"/>
          <w:szCs w:val="21"/>
        </w:rPr>
      </w:pPr>
      <w:r>
        <w:rPr>
          <w:rFonts w:hint="eastAsia" w:ascii="宋体" w:hAnsi="宋体"/>
          <w:szCs w:val="21"/>
        </w:rPr>
        <w:t>2.1 进行环保宣传教育，不断提高全体施工人员的环保意识和法制观念。</w:t>
      </w:r>
    </w:p>
    <w:p w14:paraId="55A1B741">
      <w:pPr>
        <w:spacing w:line="400" w:lineRule="exact"/>
        <w:ind w:firstLine="420"/>
        <w:rPr>
          <w:rFonts w:ascii="宋体" w:hAnsi="宋体"/>
          <w:szCs w:val="21"/>
        </w:rPr>
      </w:pPr>
      <w:r>
        <w:rPr>
          <w:rFonts w:hint="eastAsia" w:ascii="宋体" w:hAnsi="宋体"/>
          <w:szCs w:val="21"/>
        </w:rPr>
        <w:t>2.2 进场施工或生产现场，必须按国家标准和业主要求配齐并正确穿戴劳动防护用品，统一工作服。</w:t>
      </w:r>
    </w:p>
    <w:p w14:paraId="6CE0C3EE">
      <w:pPr>
        <w:spacing w:line="400" w:lineRule="exact"/>
        <w:ind w:firstLine="420"/>
        <w:rPr>
          <w:rFonts w:ascii="宋体" w:hAnsi="宋体"/>
          <w:szCs w:val="21"/>
        </w:rPr>
      </w:pPr>
      <w:r>
        <w:rPr>
          <w:rFonts w:hint="eastAsia" w:ascii="宋体" w:hAnsi="宋体"/>
          <w:szCs w:val="21"/>
        </w:rPr>
        <w:t xml:space="preserve">2.3 </w:t>
      </w:r>
      <w:r>
        <w:rPr>
          <w:rFonts w:ascii="宋体" w:hAnsi="宋体"/>
          <w:szCs w:val="21"/>
        </w:rPr>
        <w:t>在易发伤亡事故（或危险）处设置符合国家标准</w:t>
      </w:r>
      <w:r>
        <w:rPr>
          <w:rFonts w:hint="eastAsia" w:ascii="宋体" w:hAnsi="宋体"/>
          <w:szCs w:val="21"/>
        </w:rPr>
        <w:t>及华新安全</w:t>
      </w:r>
      <w:r>
        <w:rPr>
          <w:rFonts w:ascii="宋体" w:hAnsi="宋体"/>
          <w:szCs w:val="21"/>
        </w:rPr>
        <w:t>要求的安全警示标志牌。</w:t>
      </w:r>
    </w:p>
    <w:p w14:paraId="66E565E7">
      <w:pPr>
        <w:spacing w:line="400" w:lineRule="exact"/>
        <w:ind w:firstLine="420"/>
        <w:rPr>
          <w:rFonts w:ascii="宋体" w:hAnsi="宋体"/>
          <w:szCs w:val="21"/>
        </w:rPr>
      </w:pPr>
      <w:r>
        <w:rPr>
          <w:rFonts w:hint="eastAsia" w:ascii="宋体" w:hAnsi="宋体"/>
          <w:szCs w:val="21"/>
        </w:rPr>
        <w:t>2.4 按华新管理规定，现场采用封闭围挡。</w:t>
      </w:r>
    </w:p>
    <w:p w14:paraId="35A1E69F">
      <w:pPr>
        <w:spacing w:line="400" w:lineRule="exact"/>
        <w:ind w:firstLine="420"/>
        <w:rPr>
          <w:rFonts w:ascii="宋体" w:hAnsi="宋体"/>
          <w:szCs w:val="21"/>
        </w:rPr>
      </w:pPr>
      <w:r>
        <w:rPr>
          <w:rFonts w:hint="eastAsia" w:ascii="宋体" w:hAnsi="宋体"/>
          <w:szCs w:val="21"/>
        </w:rPr>
        <w:t xml:space="preserve">2.5 </w:t>
      </w:r>
      <w:r>
        <w:rPr>
          <w:rFonts w:ascii="宋体" w:hAnsi="宋体"/>
          <w:szCs w:val="21"/>
        </w:rPr>
        <w:t>在进门处悬挂工程概况、管理人员名单及监督电话、安全生产、文明施工、消防保卫五牌</w:t>
      </w:r>
      <w:r>
        <w:rPr>
          <w:rFonts w:hint="eastAsia" w:ascii="宋体" w:hAnsi="宋体"/>
          <w:szCs w:val="21"/>
        </w:rPr>
        <w:t>；</w:t>
      </w:r>
      <w:r>
        <w:rPr>
          <w:rFonts w:ascii="宋体" w:hAnsi="宋体"/>
          <w:szCs w:val="21"/>
        </w:rPr>
        <w:t>施工现场平面图。</w:t>
      </w:r>
    </w:p>
    <w:p w14:paraId="2C85DAE6">
      <w:pPr>
        <w:spacing w:line="400" w:lineRule="exact"/>
        <w:ind w:firstLine="420"/>
        <w:rPr>
          <w:rFonts w:ascii="宋体" w:hAnsi="宋体"/>
          <w:szCs w:val="21"/>
        </w:rPr>
      </w:pPr>
      <w:r>
        <w:rPr>
          <w:rFonts w:hint="eastAsia" w:ascii="宋体" w:hAnsi="宋体"/>
          <w:szCs w:val="21"/>
        </w:rPr>
        <w:t>2.6 施工现场必须进行统一标识，</w:t>
      </w:r>
      <w:r>
        <w:rPr>
          <w:rFonts w:ascii="宋体" w:hAnsi="宋体"/>
          <w:szCs w:val="21"/>
        </w:rPr>
        <w:t>现场出入的大门应设有企业标识或企业标志</w:t>
      </w:r>
      <w:r>
        <w:rPr>
          <w:rFonts w:hint="eastAsia" w:ascii="宋体" w:hAnsi="宋体"/>
          <w:szCs w:val="21"/>
        </w:rPr>
        <w:t>。</w:t>
      </w:r>
    </w:p>
    <w:p w14:paraId="08111D12">
      <w:pPr>
        <w:spacing w:line="400" w:lineRule="exact"/>
        <w:ind w:firstLine="420"/>
        <w:rPr>
          <w:rFonts w:ascii="宋体" w:hAnsi="宋体"/>
          <w:szCs w:val="21"/>
        </w:rPr>
      </w:pPr>
      <w:r>
        <w:rPr>
          <w:rFonts w:hint="eastAsia" w:ascii="宋体" w:hAnsi="宋体"/>
          <w:szCs w:val="21"/>
        </w:rPr>
        <w:t xml:space="preserve">2.7 </w:t>
      </w:r>
      <w:r>
        <w:rPr>
          <w:rFonts w:ascii="宋体" w:hAnsi="宋体"/>
          <w:szCs w:val="21"/>
        </w:rPr>
        <w:t>修筑排水沟道，</w:t>
      </w:r>
      <w:r>
        <w:rPr>
          <w:rFonts w:hint="eastAsia" w:ascii="宋体" w:hAnsi="宋体"/>
          <w:szCs w:val="21"/>
        </w:rPr>
        <w:t>做好</w:t>
      </w:r>
      <w:r>
        <w:rPr>
          <w:rFonts w:ascii="宋体" w:hAnsi="宋体"/>
          <w:szCs w:val="21"/>
        </w:rPr>
        <w:t>排水沟、排水设施和道路的清理维护</w:t>
      </w:r>
      <w:r>
        <w:rPr>
          <w:rFonts w:hint="eastAsia" w:ascii="宋体" w:hAnsi="宋体"/>
          <w:szCs w:val="21"/>
        </w:rPr>
        <w:t>。</w:t>
      </w:r>
    </w:p>
    <w:p w14:paraId="7E5BE9FC">
      <w:pPr>
        <w:spacing w:line="400" w:lineRule="exact"/>
        <w:ind w:firstLine="420"/>
        <w:rPr>
          <w:rFonts w:ascii="宋体" w:hAnsi="宋体"/>
          <w:szCs w:val="21"/>
        </w:rPr>
      </w:pPr>
      <w:r>
        <w:rPr>
          <w:rFonts w:hint="eastAsia" w:ascii="宋体" w:hAnsi="宋体"/>
          <w:szCs w:val="21"/>
        </w:rPr>
        <w:t xml:space="preserve">2.8 </w:t>
      </w:r>
      <w:r>
        <w:rPr>
          <w:rFonts w:ascii="宋体" w:hAnsi="宋体"/>
          <w:szCs w:val="21"/>
        </w:rPr>
        <w:t>施工现场、办公区、员工生活区等场边</w:t>
      </w:r>
      <w:r>
        <w:rPr>
          <w:rFonts w:hint="eastAsia" w:ascii="宋体" w:hAnsi="宋体"/>
          <w:szCs w:val="21"/>
        </w:rPr>
        <w:t>绿化</w:t>
      </w:r>
      <w:r>
        <w:rPr>
          <w:rFonts w:ascii="宋体" w:hAnsi="宋体"/>
          <w:szCs w:val="21"/>
        </w:rPr>
        <w:t>。</w:t>
      </w:r>
    </w:p>
    <w:p w14:paraId="1F015FF1">
      <w:pPr>
        <w:spacing w:line="400" w:lineRule="exact"/>
        <w:ind w:firstLine="420"/>
        <w:rPr>
          <w:rFonts w:ascii="宋体" w:hAnsi="宋体"/>
          <w:szCs w:val="21"/>
        </w:rPr>
      </w:pPr>
      <w:r>
        <w:rPr>
          <w:rFonts w:hint="eastAsia" w:ascii="宋体" w:hAnsi="宋体"/>
          <w:szCs w:val="21"/>
        </w:rPr>
        <w:t xml:space="preserve">2.9 </w:t>
      </w:r>
      <w:r>
        <w:rPr>
          <w:rFonts w:ascii="宋体" w:hAnsi="宋体"/>
          <w:szCs w:val="21"/>
        </w:rPr>
        <w:t>工地地面</w:t>
      </w:r>
      <w:r>
        <w:rPr>
          <w:rFonts w:hint="eastAsia" w:ascii="宋体" w:hAnsi="宋体"/>
          <w:szCs w:val="21"/>
        </w:rPr>
        <w:t>及临时道路的</w:t>
      </w:r>
      <w:r>
        <w:rPr>
          <w:rFonts w:ascii="宋体" w:hAnsi="宋体"/>
          <w:szCs w:val="21"/>
        </w:rPr>
        <w:t>硬化处理</w:t>
      </w:r>
      <w:r>
        <w:rPr>
          <w:rFonts w:hint="eastAsia" w:ascii="宋体" w:hAnsi="宋体"/>
          <w:szCs w:val="21"/>
        </w:rPr>
        <w:t>，并做好洒水降尘措施。</w:t>
      </w:r>
    </w:p>
    <w:p w14:paraId="77C58186">
      <w:pPr>
        <w:spacing w:line="400" w:lineRule="exact"/>
        <w:ind w:firstLine="420"/>
        <w:rPr>
          <w:rFonts w:ascii="宋体" w:hAnsi="宋体"/>
          <w:szCs w:val="21"/>
        </w:rPr>
      </w:pPr>
      <w:r>
        <w:rPr>
          <w:rFonts w:hint="eastAsia" w:ascii="宋体" w:hAnsi="宋体"/>
          <w:szCs w:val="21"/>
        </w:rPr>
        <w:t xml:space="preserve">2.10 </w:t>
      </w:r>
      <w:r>
        <w:rPr>
          <w:rFonts w:ascii="宋体" w:hAnsi="宋体"/>
          <w:szCs w:val="21"/>
        </w:rPr>
        <w:t>设备、材料、构建、料具等堆放时，悬挂标牌</w:t>
      </w:r>
      <w:r>
        <w:rPr>
          <w:rFonts w:hint="eastAsia" w:ascii="宋体" w:hAnsi="宋体"/>
          <w:szCs w:val="21"/>
        </w:rPr>
        <w:t>（包含</w:t>
      </w:r>
      <w:r>
        <w:rPr>
          <w:rFonts w:ascii="宋体" w:hAnsi="宋体"/>
          <w:szCs w:val="21"/>
        </w:rPr>
        <w:t>名称、品种、规格等</w:t>
      </w:r>
      <w:r>
        <w:rPr>
          <w:rFonts w:hint="eastAsia" w:ascii="宋体" w:hAnsi="宋体"/>
          <w:szCs w:val="21"/>
        </w:rPr>
        <w:t>），应依据设备、材料性能采取必要的防雨、防潮、防晒、防冻、防火、防爆、防损坏等措施。</w:t>
      </w:r>
    </w:p>
    <w:p w14:paraId="6CCDE96C">
      <w:pPr>
        <w:spacing w:line="400" w:lineRule="exact"/>
        <w:ind w:firstLine="420"/>
        <w:rPr>
          <w:rFonts w:ascii="宋体" w:hAnsi="宋体"/>
          <w:szCs w:val="21"/>
        </w:rPr>
      </w:pPr>
      <w:r>
        <w:rPr>
          <w:rFonts w:hint="eastAsia" w:ascii="宋体" w:hAnsi="宋体"/>
          <w:szCs w:val="21"/>
        </w:rPr>
        <w:t xml:space="preserve">2.11 </w:t>
      </w:r>
      <w:r>
        <w:rPr>
          <w:rFonts w:ascii="宋体" w:hAnsi="宋体"/>
          <w:szCs w:val="21"/>
        </w:rPr>
        <w:t>对于易燃、易爆和有毒等危险品设置专用库房及其标识</w:t>
      </w:r>
      <w:r>
        <w:rPr>
          <w:rFonts w:hint="eastAsia" w:ascii="宋体" w:hAnsi="宋体"/>
          <w:szCs w:val="21"/>
        </w:rPr>
        <w:t>。</w:t>
      </w:r>
    </w:p>
    <w:p w14:paraId="090DC390">
      <w:pPr>
        <w:spacing w:line="400" w:lineRule="exact"/>
        <w:ind w:firstLine="420"/>
        <w:rPr>
          <w:rFonts w:ascii="宋体" w:hAnsi="宋体"/>
          <w:szCs w:val="21"/>
        </w:rPr>
      </w:pPr>
      <w:r>
        <w:rPr>
          <w:rFonts w:hint="eastAsia" w:ascii="宋体" w:hAnsi="宋体"/>
          <w:szCs w:val="21"/>
        </w:rPr>
        <w:t xml:space="preserve">2.12 </w:t>
      </w:r>
      <w:r>
        <w:rPr>
          <w:rFonts w:ascii="宋体" w:hAnsi="宋体"/>
          <w:szCs w:val="21"/>
        </w:rPr>
        <w:t>水泥等易飞扬细粒建筑材料存放时，采取密闭和覆盖等措施</w:t>
      </w:r>
      <w:r>
        <w:rPr>
          <w:rFonts w:hint="eastAsia" w:ascii="宋体" w:hAnsi="宋体"/>
          <w:szCs w:val="21"/>
        </w:rPr>
        <w:t>。</w:t>
      </w:r>
    </w:p>
    <w:p w14:paraId="1ED0E8A8">
      <w:pPr>
        <w:spacing w:line="400" w:lineRule="exact"/>
        <w:ind w:firstLine="420"/>
        <w:rPr>
          <w:rFonts w:ascii="宋体" w:hAnsi="宋体"/>
          <w:szCs w:val="21"/>
        </w:rPr>
      </w:pPr>
      <w:r>
        <w:rPr>
          <w:rFonts w:hint="eastAsia" w:ascii="宋体" w:hAnsi="宋体"/>
          <w:szCs w:val="21"/>
        </w:rPr>
        <w:t xml:space="preserve">2.13 </w:t>
      </w:r>
      <w:r>
        <w:rPr>
          <w:rFonts w:ascii="宋体" w:hAnsi="宋体"/>
          <w:szCs w:val="21"/>
        </w:rPr>
        <w:t>现场配置、维护消防器材</w:t>
      </w:r>
      <w:r>
        <w:rPr>
          <w:rFonts w:hint="eastAsia" w:ascii="宋体" w:hAnsi="宋体"/>
          <w:szCs w:val="21"/>
        </w:rPr>
        <w:t>，并符合消防要求</w:t>
      </w:r>
      <w:r>
        <w:rPr>
          <w:rFonts w:ascii="宋体" w:hAnsi="宋体"/>
          <w:szCs w:val="21"/>
        </w:rPr>
        <w:t>。</w:t>
      </w:r>
    </w:p>
    <w:p w14:paraId="4266E8F8">
      <w:pPr>
        <w:spacing w:line="400" w:lineRule="exact"/>
        <w:ind w:firstLine="420"/>
        <w:rPr>
          <w:rFonts w:ascii="宋体" w:hAnsi="宋体"/>
          <w:szCs w:val="21"/>
        </w:rPr>
      </w:pPr>
      <w:r>
        <w:rPr>
          <w:rFonts w:hint="eastAsia" w:ascii="宋体" w:hAnsi="宋体"/>
          <w:szCs w:val="21"/>
        </w:rPr>
        <w:t>2.14 施工现场应设垃圾站，及时集中分拣、回收、利用、清运。垃圾清运出现场必须到政府部门批准或华新提供的消纳场地倾倒，严禁乱倒</w:t>
      </w:r>
      <w:r>
        <w:rPr>
          <w:rFonts w:ascii="宋体" w:hAnsi="宋体"/>
          <w:szCs w:val="21"/>
        </w:rPr>
        <w:t>/</w:t>
      </w:r>
      <w:r>
        <w:rPr>
          <w:rFonts w:hint="eastAsia" w:ascii="宋体" w:hAnsi="宋体"/>
          <w:szCs w:val="21"/>
        </w:rPr>
        <w:t>乱卸</w:t>
      </w:r>
      <w:r>
        <w:rPr>
          <w:rFonts w:ascii="宋体" w:hAnsi="宋体"/>
          <w:szCs w:val="21"/>
        </w:rPr>
        <w:t>。</w:t>
      </w:r>
    </w:p>
    <w:p w14:paraId="6173C26B">
      <w:pPr>
        <w:spacing w:line="400" w:lineRule="exact"/>
        <w:ind w:firstLine="420"/>
        <w:rPr>
          <w:rFonts w:ascii="宋体" w:hAnsi="宋体"/>
          <w:szCs w:val="21"/>
        </w:rPr>
      </w:pPr>
      <w:r>
        <w:rPr>
          <w:rFonts w:hint="eastAsia" w:ascii="宋体" w:hAnsi="宋体"/>
          <w:szCs w:val="21"/>
        </w:rPr>
        <w:t>2.15 防止大气污染、水污染、噪声污染等，采取相应的防护措施。</w:t>
      </w:r>
    </w:p>
    <w:p w14:paraId="19840CC5">
      <w:pPr>
        <w:spacing w:line="400" w:lineRule="exact"/>
        <w:ind w:firstLine="420"/>
        <w:rPr>
          <w:rFonts w:ascii="宋体" w:hAnsi="宋体"/>
          <w:szCs w:val="21"/>
        </w:rPr>
      </w:pPr>
      <w:r>
        <w:rPr>
          <w:rFonts w:hint="eastAsia" w:ascii="宋体" w:hAnsi="宋体"/>
          <w:szCs w:val="21"/>
        </w:rPr>
        <w:t>2.16 承包人应保证施工场地的清洁达到环境卫生部门及华新的管理要求，为现场所有人员提供并维护有效的和清洁的生活设施，并在本工程竣工验收合格后，清理现场，运走全部施工机械、剩余材料和垃圾，保持施工场地和本工程的清洁整齐。</w:t>
      </w:r>
    </w:p>
    <w:p w14:paraId="12285413">
      <w:pPr>
        <w:spacing w:line="400" w:lineRule="exact"/>
        <w:rPr>
          <w:rFonts w:ascii="宋体" w:hAnsi="宋体"/>
          <w:b/>
          <w:szCs w:val="21"/>
        </w:rPr>
      </w:pPr>
      <w:r>
        <w:rPr>
          <w:rFonts w:hint="eastAsia" w:ascii="宋体" w:hAnsi="宋体"/>
          <w:b/>
          <w:szCs w:val="21"/>
        </w:rPr>
        <w:t>三．临时设施管理</w:t>
      </w:r>
    </w:p>
    <w:p w14:paraId="41F41D7A">
      <w:pPr>
        <w:spacing w:line="400" w:lineRule="exact"/>
        <w:ind w:firstLine="420"/>
        <w:rPr>
          <w:rFonts w:ascii="宋体" w:hAnsi="宋体"/>
          <w:szCs w:val="21"/>
        </w:rPr>
      </w:pPr>
      <w:r>
        <w:rPr>
          <w:rFonts w:hint="eastAsia" w:ascii="宋体" w:hAnsi="宋体"/>
          <w:szCs w:val="21"/>
        </w:rPr>
        <w:t>3.1 严格按照平面布置图设立临时建筑设施，施工现场办公、生活区（若有）与作业区分开设置，并保持安全距离。</w:t>
      </w:r>
    </w:p>
    <w:p w14:paraId="631016CA">
      <w:pPr>
        <w:spacing w:line="400" w:lineRule="exact"/>
        <w:ind w:firstLine="420"/>
        <w:rPr>
          <w:rFonts w:ascii="宋体" w:hAnsi="宋体"/>
          <w:szCs w:val="21"/>
        </w:rPr>
      </w:pPr>
      <w:r>
        <w:rPr>
          <w:rFonts w:hint="eastAsia" w:ascii="宋体" w:hAnsi="宋体"/>
          <w:szCs w:val="21"/>
        </w:rPr>
        <w:t>3.2 工地办公室、现场宿舍、厕所、饮水、休息场所等符合卫生、安全要求，并符合华新管理规定。</w:t>
      </w:r>
    </w:p>
    <w:p w14:paraId="376DB79E">
      <w:pPr>
        <w:spacing w:line="400" w:lineRule="exact"/>
        <w:ind w:firstLine="420"/>
        <w:rPr>
          <w:rFonts w:ascii="宋体" w:hAnsi="宋体"/>
          <w:szCs w:val="21"/>
        </w:rPr>
      </w:pPr>
      <w:r>
        <w:rPr>
          <w:rFonts w:hint="eastAsia" w:ascii="宋体" w:hAnsi="宋体"/>
          <w:szCs w:val="21"/>
        </w:rPr>
        <w:t>3.3 承包人在工程开工前，必须对施工用水、生活用水、排污设施等进行整体布置，要适应季节施工需要，做好前期准备。</w:t>
      </w:r>
    </w:p>
    <w:p w14:paraId="52C3DD87">
      <w:pPr>
        <w:spacing w:line="400" w:lineRule="exact"/>
        <w:ind w:firstLine="420"/>
        <w:rPr>
          <w:rFonts w:ascii="宋体" w:hAnsi="宋体"/>
          <w:szCs w:val="21"/>
        </w:rPr>
      </w:pPr>
      <w:r>
        <w:rPr>
          <w:rFonts w:hint="eastAsia" w:ascii="宋体" w:hAnsi="宋体"/>
          <w:szCs w:val="21"/>
        </w:rPr>
        <w:t>3.3 施工现场临时用电需满足国家标准、华新管理制度及电气技术标准。</w:t>
      </w:r>
    </w:p>
    <w:p w14:paraId="7E828DD0">
      <w:pPr>
        <w:spacing w:line="400" w:lineRule="exact"/>
        <w:rPr>
          <w:rFonts w:ascii="宋体" w:hAnsi="宋体"/>
          <w:b/>
          <w:szCs w:val="21"/>
        </w:rPr>
      </w:pPr>
      <w:r>
        <w:rPr>
          <w:rFonts w:hint="eastAsia" w:ascii="宋体" w:hAnsi="宋体"/>
          <w:b/>
          <w:szCs w:val="21"/>
        </w:rPr>
        <w:t>四．国家法律法规及华新管理制度规定的其他要求</w:t>
      </w:r>
    </w:p>
    <w:p w14:paraId="661418B9">
      <w:pPr>
        <w:spacing w:line="400" w:lineRule="exact"/>
        <w:ind w:firstLine="420"/>
        <w:rPr>
          <w:rFonts w:ascii="宋体" w:hAnsi="宋体"/>
          <w:szCs w:val="21"/>
        </w:rPr>
      </w:pPr>
    </w:p>
    <w:p w14:paraId="55EAF788">
      <w:pPr>
        <w:spacing w:line="400" w:lineRule="exact"/>
        <w:ind w:firstLine="420"/>
        <w:rPr>
          <w:rFonts w:ascii="宋体" w:hAnsi="宋体"/>
          <w:b/>
          <w:szCs w:val="21"/>
        </w:rPr>
      </w:pPr>
      <w:r>
        <w:rPr>
          <w:rFonts w:hint="eastAsia" w:ascii="宋体" w:hAnsi="宋体"/>
          <w:b/>
          <w:szCs w:val="21"/>
        </w:rPr>
        <w:t>承包人必须严格执行上述规定，不得以此作为增加工程费用及合同金额的理由。</w:t>
      </w:r>
    </w:p>
    <w:sectPr>
      <w:pgSz w:w="11906" w:h="16838"/>
      <w:pgMar w:top="1440" w:right="1797" w:bottom="1440" w:left="1985"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390AC">
    <w:pPr>
      <w:pStyle w:val="12"/>
      <w:framePr w:wrap="around" w:vAnchor="text" w:hAnchor="margin" w:xAlign="right" w:y="1"/>
      <w:rPr>
        <w:rStyle w:val="26"/>
      </w:rPr>
    </w:pPr>
  </w:p>
  <w:p w14:paraId="37934A50">
    <w:pPr>
      <w:pStyle w:val="12"/>
      <w:ind w:right="360"/>
      <w:rPr>
        <w:lang w:val="de-DE"/>
      </w:rPr>
    </w:pPr>
    <w:r>
      <w:rPr>
        <w:lang w:val="de-DE"/>
      </w:rPr>
      <w:t xml:space="preserve">                       </w:t>
    </w:r>
    <w:r>
      <w:rPr>
        <w:rFonts w:hint="eastAsia"/>
        <w:lang w:val="de-DE"/>
      </w:rPr>
      <w:t xml:space="preserve">                  </w:t>
    </w:r>
    <w:r>
      <w:rPr>
        <w:lang w:val="de-DE"/>
      </w:rPr>
      <w:t xml:space="preserve">    </w:t>
    </w:r>
    <w:r>
      <w:rPr>
        <w:rFonts w:hint="eastAsia"/>
        <w:lang w:val="de-DE"/>
      </w:rPr>
      <w:t>P</w:t>
    </w:r>
    <w:r>
      <w:rPr>
        <w:lang w:val="de-DE"/>
      </w:rPr>
      <w:t>age</w:t>
    </w:r>
    <w:r>
      <w:rPr>
        <w:rStyle w:val="26"/>
      </w:rPr>
      <w:fldChar w:fldCharType="begin"/>
    </w:r>
    <w:r>
      <w:rPr>
        <w:rStyle w:val="26"/>
        <w:lang w:val="de-DE"/>
      </w:rPr>
      <w:instrText xml:space="preserve"> PAGE </w:instrText>
    </w:r>
    <w:r>
      <w:rPr>
        <w:rStyle w:val="26"/>
      </w:rPr>
      <w:fldChar w:fldCharType="separate"/>
    </w:r>
    <w:r>
      <w:rPr>
        <w:rStyle w:val="26"/>
        <w:lang w:val="de-DE"/>
      </w:rPr>
      <w:t>37</w:t>
    </w:r>
    <w:r>
      <w:rPr>
        <w:rStyle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C3C4">
    <w:pPr>
      <w:pStyle w:val="12"/>
      <w:framePr w:wrap="around" w:vAnchor="text" w:hAnchor="margin" w:xAlign="right" w:y="1"/>
      <w:rPr>
        <w:rStyle w:val="26"/>
      </w:rPr>
    </w:pPr>
    <w:r>
      <w:rPr>
        <w:rStyle w:val="26"/>
      </w:rPr>
      <w:fldChar w:fldCharType="begin"/>
    </w:r>
    <w:r>
      <w:rPr>
        <w:rStyle w:val="26"/>
      </w:rPr>
      <w:instrText xml:space="preserve">PAGE  </w:instrText>
    </w:r>
    <w:r>
      <w:rPr>
        <w:rStyle w:val="26"/>
      </w:rPr>
      <w:fldChar w:fldCharType="end"/>
    </w:r>
  </w:p>
  <w:p w14:paraId="6A7C9ECB">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C82EB">
    <w:pPr>
      <w:pStyle w:val="13"/>
      <w:ind w:right="360"/>
      <w:jc w:val="both"/>
    </w:pPr>
    <w:r>
      <w:rPr>
        <w:rFonts w:hint="eastAsia"/>
      </w:rPr>
      <w:t xml:space="preserve">黄石华新绿色建材产业有限公司23E中转楼项目土建工程施工合同                 第 </w:t>
    </w:r>
    <w:r>
      <w:rPr>
        <w:rStyle w:val="26"/>
      </w:rPr>
      <w:fldChar w:fldCharType="begin"/>
    </w:r>
    <w:r>
      <w:rPr>
        <w:rStyle w:val="26"/>
      </w:rPr>
      <w:instrText xml:space="preserve"> PAGE </w:instrText>
    </w:r>
    <w:r>
      <w:rPr>
        <w:rStyle w:val="26"/>
      </w:rPr>
      <w:fldChar w:fldCharType="separate"/>
    </w:r>
    <w:r>
      <w:rPr>
        <w:rStyle w:val="26"/>
      </w:rPr>
      <w:t>37</w:t>
    </w:r>
    <w:r>
      <w:rPr>
        <w:rStyle w:val="26"/>
      </w:rPr>
      <w:fldChar w:fldCharType="end"/>
    </w:r>
    <w:r>
      <w:rPr>
        <w:rFonts w:hint="eastAsia"/>
      </w:rPr>
      <w:t xml:space="preserve"> 页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B699">
    <w:pPr>
      <w:pStyle w:val="13"/>
      <w:framePr w:wrap="around" w:vAnchor="text" w:hAnchor="margin" w:xAlign="right" w:y="1"/>
      <w:rPr>
        <w:rStyle w:val="26"/>
      </w:rPr>
    </w:pPr>
    <w:r>
      <w:rPr>
        <w:rStyle w:val="26"/>
      </w:rPr>
      <w:fldChar w:fldCharType="begin"/>
    </w:r>
    <w:r>
      <w:rPr>
        <w:rStyle w:val="26"/>
      </w:rPr>
      <w:instrText xml:space="preserve">PAGE  </w:instrText>
    </w:r>
    <w:r>
      <w:rPr>
        <w:rStyle w:val="26"/>
      </w:rPr>
      <w:fldChar w:fldCharType="end"/>
    </w:r>
  </w:p>
  <w:p w14:paraId="0DCEFB46">
    <w:pPr>
      <w:pStyle w:val="1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C9EE4">
    <w:pPr>
      <w:pStyle w:val="13"/>
      <w:pBdr>
        <w:bottom w:val="none" w:color="auto" w:sz="0" w:space="0"/>
      </w:pBdr>
      <w:rPr>
        <w:rFonts w:ascii="Arial" w:hAnsi="Arial" w:cs="Arial"/>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E5DAE"/>
    <w:multiLevelType w:val="multilevel"/>
    <w:tmpl w:val="3D2E5DAE"/>
    <w:lvl w:ilvl="0" w:tentative="0">
      <w:start w:val="1"/>
      <w:numFmt w:val="decimal"/>
      <w:lvlText w:val="（%1）"/>
      <w:lvlJc w:val="left"/>
      <w:pPr>
        <w:tabs>
          <w:tab w:val="left" w:pos="1200"/>
        </w:tabs>
        <w:ind w:left="120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74C6C8A"/>
    <w:multiLevelType w:val="multilevel"/>
    <w:tmpl w:val="474C6C8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8FB0696"/>
    <w:multiLevelType w:val="multilevel"/>
    <w:tmpl w:val="78FB0696"/>
    <w:lvl w:ilvl="0" w:tentative="0">
      <w:start w:val="1"/>
      <w:numFmt w:val="decimal"/>
      <w:lvlText w:val="（%1）"/>
      <w:lvlJc w:val="left"/>
      <w:pPr>
        <w:tabs>
          <w:tab w:val="left" w:pos="1200"/>
        </w:tabs>
        <w:ind w:left="120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CE82BF9"/>
    <w:multiLevelType w:val="multilevel"/>
    <w:tmpl w:val="7CE82BF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7EFF54F1"/>
    <w:multiLevelType w:val="multilevel"/>
    <w:tmpl w:val="7EFF54F1"/>
    <w:lvl w:ilvl="0" w:tentative="0">
      <w:start w:val="1"/>
      <w:numFmt w:val="decimal"/>
      <w:lvlText w:val="2.3.%1"/>
      <w:lvlJc w:val="left"/>
      <w:pPr>
        <w:tabs>
          <w:tab w:val="left" w:pos="1701"/>
        </w:tabs>
        <w:ind w:left="1701" w:hanging="850"/>
      </w:pPr>
      <w:rPr>
        <w:rFonts w:hint="eastAsia"/>
        <w:b w:val="0"/>
        <w:i w:val="0"/>
        <w:sz w:val="24"/>
      </w:rPr>
    </w:lvl>
    <w:lvl w:ilvl="1" w:tentative="0">
      <w:start w:val="1"/>
      <w:numFmt w:val="decimal"/>
      <w:lvlText w:val="%2."/>
      <w:lvlJc w:val="left"/>
      <w:pPr>
        <w:tabs>
          <w:tab w:val="left" w:pos="810"/>
        </w:tabs>
        <w:ind w:left="810" w:hanging="39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8C3"/>
    <w:rsid w:val="00003692"/>
    <w:rsid w:val="0002633A"/>
    <w:rsid w:val="0003176F"/>
    <w:rsid w:val="00034AF5"/>
    <w:rsid w:val="0003587F"/>
    <w:rsid w:val="00035BF4"/>
    <w:rsid w:val="00042812"/>
    <w:rsid w:val="00053B87"/>
    <w:rsid w:val="00055477"/>
    <w:rsid w:val="00076159"/>
    <w:rsid w:val="00083A3E"/>
    <w:rsid w:val="00084DE4"/>
    <w:rsid w:val="000A719E"/>
    <w:rsid w:val="000B0397"/>
    <w:rsid w:val="000D6E28"/>
    <w:rsid w:val="000E4624"/>
    <w:rsid w:val="000F1133"/>
    <w:rsid w:val="001026B2"/>
    <w:rsid w:val="00105C1B"/>
    <w:rsid w:val="001077FD"/>
    <w:rsid w:val="00107D3D"/>
    <w:rsid w:val="001102FD"/>
    <w:rsid w:val="00110810"/>
    <w:rsid w:val="00110BEE"/>
    <w:rsid w:val="00145CFE"/>
    <w:rsid w:val="0015549C"/>
    <w:rsid w:val="00161622"/>
    <w:rsid w:val="001620D0"/>
    <w:rsid w:val="00164F55"/>
    <w:rsid w:val="001713F1"/>
    <w:rsid w:val="001851D5"/>
    <w:rsid w:val="001B4A30"/>
    <w:rsid w:val="001C1E4F"/>
    <w:rsid w:val="001C5404"/>
    <w:rsid w:val="001D0652"/>
    <w:rsid w:val="001D2706"/>
    <w:rsid w:val="001D686D"/>
    <w:rsid w:val="001E6A11"/>
    <w:rsid w:val="001E7C92"/>
    <w:rsid w:val="001E7E37"/>
    <w:rsid w:val="001F4D21"/>
    <w:rsid w:val="00203272"/>
    <w:rsid w:val="002133E1"/>
    <w:rsid w:val="00217BEC"/>
    <w:rsid w:val="00221808"/>
    <w:rsid w:val="00225283"/>
    <w:rsid w:val="00227FC1"/>
    <w:rsid w:val="002405AC"/>
    <w:rsid w:val="002640C2"/>
    <w:rsid w:val="002821D3"/>
    <w:rsid w:val="00285587"/>
    <w:rsid w:val="00293349"/>
    <w:rsid w:val="00294319"/>
    <w:rsid w:val="00296E30"/>
    <w:rsid w:val="002D4069"/>
    <w:rsid w:val="002E70E8"/>
    <w:rsid w:val="002F21B8"/>
    <w:rsid w:val="002F397F"/>
    <w:rsid w:val="002F6FDA"/>
    <w:rsid w:val="002F7710"/>
    <w:rsid w:val="00317E1D"/>
    <w:rsid w:val="00330565"/>
    <w:rsid w:val="003448E7"/>
    <w:rsid w:val="003566C3"/>
    <w:rsid w:val="0036154E"/>
    <w:rsid w:val="003638C3"/>
    <w:rsid w:val="00373704"/>
    <w:rsid w:val="003742C1"/>
    <w:rsid w:val="003A54C3"/>
    <w:rsid w:val="003C53D9"/>
    <w:rsid w:val="003E2F5D"/>
    <w:rsid w:val="003E7B1C"/>
    <w:rsid w:val="003F155C"/>
    <w:rsid w:val="003F1827"/>
    <w:rsid w:val="003F74D0"/>
    <w:rsid w:val="00403E2E"/>
    <w:rsid w:val="00403E62"/>
    <w:rsid w:val="0040563A"/>
    <w:rsid w:val="004343C8"/>
    <w:rsid w:val="004429EF"/>
    <w:rsid w:val="00445E74"/>
    <w:rsid w:val="00447266"/>
    <w:rsid w:val="004633B6"/>
    <w:rsid w:val="00490542"/>
    <w:rsid w:val="00492433"/>
    <w:rsid w:val="004B1A6D"/>
    <w:rsid w:val="004C3D17"/>
    <w:rsid w:val="004C4A90"/>
    <w:rsid w:val="004C6A6A"/>
    <w:rsid w:val="004D02FB"/>
    <w:rsid w:val="004D2F18"/>
    <w:rsid w:val="0052468E"/>
    <w:rsid w:val="00525C3C"/>
    <w:rsid w:val="0053533B"/>
    <w:rsid w:val="00543653"/>
    <w:rsid w:val="005508E2"/>
    <w:rsid w:val="005513F0"/>
    <w:rsid w:val="00563BC3"/>
    <w:rsid w:val="00593702"/>
    <w:rsid w:val="005943DF"/>
    <w:rsid w:val="005A283F"/>
    <w:rsid w:val="005A50D6"/>
    <w:rsid w:val="005B7D9E"/>
    <w:rsid w:val="005C0EC5"/>
    <w:rsid w:val="005C4EEE"/>
    <w:rsid w:val="005D70D0"/>
    <w:rsid w:val="005E00DE"/>
    <w:rsid w:val="005E463E"/>
    <w:rsid w:val="006017A7"/>
    <w:rsid w:val="0061416D"/>
    <w:rsid w:val="00621AAE"/>
    <w:rsid w:val="006225FB"/>
    <w:rsid w:val="00644555"/>
    <w:rsid w:val="00655844"/>
    <w:rsid w:val="00656149"/>
    <w:rsid w:val="00671F06"/>
    <w:rsid w:val="0068348E"/>
    <w:rsid w:val="00684060"/>
    <w:rsid w:val="00686268"/>
    <w:rsid w:val="006B0E13"/>
    <w:rsid w:val="006B11D1"/>
    <w:rsid w:val="006D4D7F"/>
    <w:rsid w:val="006E18B0"/>
    <w:rsid w:val="006E2CA8"/>
    <w:rsid w:val="006E4323"/>
    <w:rsid w:val="006E692F"/>
    <w:rsid w:val="006F3A2D"/>
    <w:rsid w:val="00700643"/>
    <w:rsid w:val="007155AE"/>
    <w:rsid w:val="00717696"/>
    <w:rsid w:val="0074712B"/>
    <w:rsid w:val="00762677"/>
    <w:rsid w:val="00773946"/>
    <w:rsid w:val="00780D2F"/>
    <w:rsid w:val="00781024"/>
    <w:rsid w:val="00784DC3"/>
    <w:rsid w:val="00794B48"/>
    <w:rsid w:val="007B32C9"/>
    <w:rsid w:val="007B53F4"/>
    <w:rsid w:val="007C2C76"/>
    <w:rsid w:val="007D3650"/>
    <w:rsid w:val="007D5EDB"/>
    <w:rsid w:val="007E30DE"/>
    <w:rsid w:val="007F1B33"/>
    <w:rsid w:val="0080187D"/>
    <w:rsid w:val="00804777"/>
    <w:rsid w:val="00811918"/>
    <w:rsid w:val="0081489F"/>
    <w:rsid w:val="00816805"/>
    <w:rsid w:val="0083609B"/>
    <w:rsid w:val="00850FE9"/>
    <w:rsid w:val="00853ACC"/>
    <w:rsid w:val="00864337"/>
    <w:rsid w:val="00871E1B"/>
    <w:rsid w:val="00875B84"/>
    <w:rsid w:val="0089116F"/>
    <w:rsid w:val="008B41AD"/>
    <w:rsid w:val="008C4F5B"/>
    <w:rsid w:val="008D61C9"/>
    <w:rsid w:val="008E13EA"/>
    <w:rsid w:val="00921B50"/>
    <w:rsid w:val="0093494C"/>
    <w:rsid w:val="00935367"/>
    <w:rsid w:val="00942F78"/>
    <w:rsid w:val="00981D5B"/>
    <w:rsid w:val="00985273"/>
    <w:rsid w:val="00995E4F"/>
    <w:rsid w:val="009B3700"/>
    <w:rsid w:val="009B5A5B"/>
    <w:rsid w:val="009C0DF6"/>
    <w:rsid w:val="009C1E4B"/>
    <w:rsid w:val="009D20BB"/>
    <w:rsid w:val="009D6B1F"/>
    <w:rsid w:val="009E5B53"/>
    <w:rsid w:val="009F3DBD"/>
    <w:rsid w:val="00A215BA"/>
    <w:rsid w:val="00A355A8"/>
    <w:rsid w:val="00A5121E"/>
    <w:rsid w:val="00A56A2F"/>
    <w:rsid w:val="00A66AF6"/>
    <w:rsid w:val="00A746E7"/>
    <w:rsid w:val="00A834AE"/>
    <w:rsid w:val="00A93719"/>
    <w:rsid w:val="00AA1D97"/>
    <w:rsid w:val="00AA3DCB"/>
    <w:rsid w:val="00AA5298"/>
    <w:rsid w:val="00AB6389"/>
    <w:rsid w:val="00AB7A1B"/>
    <w:rsid w:val="00AB7A80"/>
    <w:rsid w:val="00AC1BEA"/>
    <w:rsid w:val="00AC625D"/>
    <w:rsid w:val="00AE4ECD"/>
    <w:rsid w:val="00AF6D3F"/>
    <w:rsid w:val="00B14EDB"/>
    <w:rsid w:val="00B275CB"/>
    <w:rsid w:val="00B40906"/>
    <w:rsid w:val="00B43769"/>
    <w:rsid w:val="00B45219"/>
    <w:rsid w:val="00B63F78"/>
    <w:rsid w:val="00B92E7C"/>
    <w:rsid w:val="00B93D9C"/>
    <w:rsid w:val="00BB7BFA"/>
    <w:rsid w:val="00BE12BF"/>
    <w:rsid w:val="00BE589A"/>
    <w:rsid w:val="00BE5F66"/>
    <w:rsid w:val="00C01721"/>
    <w:rsid w:val="00C134B8"/>
    <w:rsid w:val="00C239DB"/>
    <w:rsid w:val="00C3181D"/>
    <w:rsid w:val="00C34D36"/>
    <w:rsid w:val="00C51194"/>
    <w:rsid w:val="00C64FA7"/>
    <w:rsid w:val="00C67814"/>
    <w:rsid w:val="00C742D2"/>
    <w:rsid w:val="00C85EB7"/>
    <w:rsid w:val="00CA74B0"/>
    <w:rsid w:val="00CB041B"/>
    <w:rsid w:val="00CC0B8B"/>
    <w:rsid w:val="00CC1924"/>
    <w:rsid w:val="00CC6EE3"/>
    <w:rsid w:val="00CC7FFE"/>
    <w:rsid w:val="00CD46F7"/>
    <w:rsid w:val="00CD6B61"/>
    <w:rsid w:val="00CE0628"/>
    <w:rsid w:val="00CE2CF0"/>
    <w:rsid w:val="00CE76AC"/>
    <w:rsid w:val="00CF4949"/>
    <w:rsid w:val="00D00DB3"/>
    <w:rsid w:val="00D023F5"/>
    <w:rsid w:val="00D0287E"/>
    <w:rsid w:val="00D04245"/>
    <w:rsid w:val="00D07730"/>
    <w:rsid w:val="00D10B55"/>
    <w:rsid w:val="00D2028C"/>
    <w:rsid w:val="00D33CB8"/>
    <w:rsid w:val="00D34B9C"/>
    <w:rsid w:val="00D43506"/>
    <w:rsid w:val="00D510B5"/>
    <w:rsid w:val="00D52278"/>
    <w:rsid w:val="00D54AF0"/>
    <w:rsid w:val="00D56819"/>
    <w:rsid w:val="00D63F27"/>
    <w:rsid w:val="00D83B2D"/>
    <w:rsid w:val="00D84762"/>
    <w:rsid w:val="00D87879"/>
    <w:rsid w:val="00D87A94"/>
    <w:rsid w:val="00D91773"/>
    <w:rsid w:val="00D92D65"/>
    <w:rsid w:val="00D92DF5"/>
    <w:rsid w:val="00D97ABC"/>
    <w:rsid w:val="00DA1571"/>
    <w:rsid w:val="00DA36B5"/>
    <w:rsid w:val="00DD43FF"/>
    <w:rsid w:val="00DE4098"/>
    <w:rsid w:val="00DF4CC9"/>
    <w:rsid w:val="00DF52AF"/>
    <w:rsid w:val="00E1633A"/>
    <w:rsid w:val="00E17B39"/>
    <w:rsid w:val="00E30EEA"/>
    <w:rsid w:val="00E37083"/>
    <w:rsid w:val="00E44027"/>
    <w:rsid w:val="00E47E9A"/>
    <w:rsid w:val="00E73841"/>
    <w:rsid w:val="00E96740"/>
    <w:rsid w:val="00EA26CD"/>
    <w:rsid w:val="00EC1F01"/>
    <w:rsid w:val="00EC4D99"/>
    <w:rsid w:val="00EC6885"/>
    <w:rsid w:val="00ED0C83"/>
    <w:rsid w:val="00EE189A"/>
    <w:rsid w:val="00EE199C"/>
    <w:rsid w:val="00EE5B54"/>
    <w:rsid w:val="00EE63DA"/>
    <w:rsid w:val="00EF5541"/>
    <w:rsid w:val="00EF577B"/>
    <w:rsid w:val="00EF6668"/>
    <w:rsid w:val="00F03D31"/>
    <w:rsid w:val="00F0462F"/>
    <w:rsid w:val="00F04946"/>
    <w:rsid w:val="00F10807"/>
    <w:rsid w:val="00F11C8F"/>
    <w:rsid w:val="00F20664"/>
    <w:rsid w:val="00F31BE0"/>
    <w:rsid w:val="00F31F9E"/>
    <w:rsid w:val="00F35A1C"/>
    <w:rsid w:val="00F47F98"/>
    <w:rsid w:val="00F514A8"/>
    <w:rsid w:val="00F60005"/>
    <w:rsid w:val="00F61309"/>
    <w:rsid w:val="00F71F9B"/>
    <w:rsid w:val="00F750C8"/>
    <w:rsid w:val="00F8168A"/>
    <w:rsid w:val="00F90E89"/>
    <w:rsid w:val="00FB3C59"/>
    <w:rsid w:val="00FD6E8D"/>
    <w:rsid w:val="00FF101A"/>
    <w:rsid w:val="096A50D9"/>
    <w:rsid w:val="21D47CC7"/>
    <w:rsid w:val="25047D4F"/>
    <w:rsid w:val="27C40A39"/>
    <w:rsid w:val="2E505F6D"/>
    <w:rsid w:val="3CAD23C5"/>
    <w:rsid w:val="41D473B5"/>
    <w:rsid w:val="58700167"/>
    <w:rsid w:val="63186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keepLines/>
      <w:spacing w:before="240" w:after="240"/>
      <w:jc w:val="center"/>
      <w:outlineLvl w:val="0"/>
    </w:pPr>
    <w:rPr>
      <w:b/>
      <w:bCs/>
      <w:kern w:val="44"/>
      <w:sz w:val="30"/>
      <w:szCs w:val="44"/>
    </w:rPr>
  </w:style>
  <w:style w:type="paragraph" w:styleId="3">
    <w:name w:val="heading 2"/>
    <w:basedOn w:val="1"/>
    <w:next w:val="1"/>
    <w:link w:val="177"/>
    <w:unhideWhenUsed/>
    <w:qFormat/>
    <w:uiPriority w:val="9"/>
    <w:pPr>
      <w:keepNext/>
      <w:keepLines/>
      <w:spacing w:before="260" w:after="260" w:line="416" w:lineRule="auto"/>
      <w:outlineLvl w:val="1"/>
    </w:pPr>
    <w:rPr>
      <w:rFonts w:ascii="宋体" w:hAnsi="宋体" w:eastAsiaTheme="majorEastAsia" w:cstheme="majorBidi"/>
      <w:b/>
      <w:bCs/>
      <w:sz w:val="24"/>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autoRedefine/>
    <w:unhideWhenUsed/>
    <w:qFormat/>
    <w:uiPriority w:val="39"/>
    <w:pPr>
      <w:ind w:left="2520" w:leftChars="1200"/>
    </w:pPr>
    <w:rPr>
      <w:rFonts w:ascii="Calibri" w:hAnsi="Calibri"/>
      <w:szCs w:val="22"/>
    </w:rPr>
  </w:style>
  <w:style w:type="paragraph" w:styleId="5">
    <w:name w:val="annotation text"/>
    <w:basedOn w:val="1"/>
    <w:link w:val="102"/>
    <w:qFormat/>
    <w:uiPriority w:val="0"/>
    <w:pPr>
      <w:jc w:val="left"/>
    </w:pPr>
  </w:style>
  <w:style w:type="paragraph" w:styleId="6">
    <w:name w:val="Body Text Indent"/>
    <w:basedOn w:val="1"/>
    <w:link w:val="92"/>
    <w:qFormat/>
    <w:uiPriority w:val="0"/>
    <w:pPr>
      <w:spacing w:after="120"/>
      <w:ind w:left="420" w:leftChars="200"/>
    </w:pPr>
  </w:style>
  <w:style w:type="paragraph" w:styleId="7">
    <w:name w:val="toc 5"/>
    <w:basedOn w:val="1"/>
    <w:next w:val="1"/>
    <w:autoRedefine/>
    <w:unhideWhenUsed/>
    <w:qFormat/>
    <w:uiPriority w:val="39"/>
    <w:pPr>
      <w:ind w:left="1680" w:leftChars="800"/>
    </w:pPr>
    <w:rPr>
      <w:rFonts w:ascii="Calibri" w:hAnsi="Calibri"/>
      <w:szCs w:val="22"/>
    </w:rPr>
  </w:style>
  <w:style w:type="paragraph" w:styleId="8">
    <w:name w:val="toc 3"/>
    <w:basedOn w:val="1"/>
    <w:next w:val="1"/>
    <w:autoRedefine/>
    <w:unhideWhenUsed/>
    <w:qFormat/>
    <w:uiPriority w:val="39"/>
    <w:pPr>
      <w:ind w:left="840" w:leftChars="400"/>
    </w:pPr>
    <w:rPr>
      <w:rFonts w:ascii="Calibri" w:hAnsi="Calibri"/>
      <w:szCs w:val="22"/>
    </w:rPr>
  </w:style>
  <w:style w:type="paragraph" w:styleId="9">
    <w:name w:val="toc 8"/>
    <w:basedOn w:val="1"/>
    <w:next w:val="1"/>
    <w:autoRedefine/>
    <w:unhideWhenUsed/>
    <w:qFormat/>
    <w:uiPriority w:val="39"/>
    <w:pPr>
      <w:ind w:left="2940" w:leftChars="1400"/>
    </w:pPr>
    <w:rPr>
      <w:rFonts w:ascii="Calibri" w:hAnsi="Calibri"/>
      <w:szCs w:val="22"/>
    </w:rPr>
  </w:style>
  <w:style w:type="paragraph" w:styleId="10">
    <w:name w:val="Body Text Indent 2"/>
    <w:basedOn w:val="1"/>
    <w:link w:val="33"/>
    <w:qFormat/>
    <w:uiPriority w:val="0"/>
    <w:pPr>
      <w:ind w:firstLine="480" w:firstLineChars="200"/>
    </w:pPr>
    <w:rPr>
      <w:color w:val="0000FF"/>
      <w:sz w:val="24"/>
    </w:rPr>
  </w:style>
  <w:style w:type="paragraph" w:styleId="11">
    <w:name w:val="Balloon Text"/>
    <w:basedOn w:val="1"/>
    <w:link w:val="96"/>
    <w:qFormat/>
    <w:uiPriority w:val="0"/>
    <w:rPr>
      <w:sz w:val="18"/>
      <w:szCs w:val="18"/>
    </w:rPr>
  </w:style>
  <w:style w:type="paragraph" w:styleId="12">
    <w:name w:val="footer"/>
    <w:basedOn w:val="1"/>
    <w:link w:val="31"/>
    <w:unhideWhenUsed/>
    <w:qFormat/>
    <w:uiPriority w:val="0"/>
    <w:pPr>
      <w:tabs>
        <w:tab w:val="center" w:pos="4153"/>
        <w:tab w:val="right" w:pos="8306"/>
      </w:tabs>
      <w:snapToGrid w:val="0"/>
      <w:jc w:val="left"/>
    </w:pPr>
    <w:rPr>
      <w:sz w:val="18"/>
      <w:szCs w:val="18"/>
    </w:rPr>
  </w:style>
  <w:style w:type="paragraph" w:styleId="13">
    <w:name w:val="header"/>
    <w:basedOn w:val="1"/>
    <w:link w:val="30"/>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pPr>
      <w:tabs>
        <w:tab w:val="right" w:leader="dot" w:pos="8302"/>
      </w:tabs>
    </w:pPr>
    <w:rPr>
      <w:b/>
    </w:rPr>
  </w:style>
  <w:style w:type="paragraph" w:styleId="15">
    <w:name w:val="toc 4"/>
    <w:basedOn w:val="1"/>
    <w:next w:val="1"/>
    <w:autoRedefine/>
    <w:unhideWhenUsed/>
    <w:qFormat/>
    <w:uiPriority w:val="39"/>
    <w:pPr>
      <w:ind w:left="1260" w:leftChars="600"/>
    </w:pPr>
    <w:rPr>
      <w:rFonts w:ascii="Calibri" w:hAnsi="Calibri"/>
      <w:szCs w:val="22"/>
    </w:rPr>
  </w:style>
  <w:style w:type="paragraph" w:styleId="16">
    <w:name w:val="Subtitle"/>
    <w:basedOn w:val="1"/>
    <w:next w:val="1"/>
    <w:link w:val="100"/>
    <w:qFormat/>
    <w:uiPriority w:val="0"/>
    <w:pPr>
      <w:spacing w:before="240" w:after="60" w:line="312" w:lineRule="auto"/>
      <w:jc w:val="center"/>
      <w:outlineLvl w:val="1"/>
    </w:pPr>
    <w:rPr>
      <w:rFonts w:ascii="Cambria" w:hAnsi="Cambria"/>
      <w:b/>
      <w:bCs/>
      <w:kern w:val="28"/>
      <w:sz w:val="32"/>
      <w:szCs w:val="32"/>
    </w:rPr>
  </w:style>
  <w:style w:type="paragraph" w:styleId="17">
    <w:name w:val="toc 6"/>
    <w:basedOn w:val="1"/>
    <w:next w:val="1"/>
    <w:autoRedefine/>
    <w:unhideWhenUsed/>
    <w:qFormat/>
    <w:uiPriority w:val="39"/>
    <w:pPr>
      <w:ind w:left="2100" w:leftChars="1000"/>
    </w:pPr>
    <w:rPr>
      <w:rFonts w:ascii="Calibri" w:hAnsi="Calibri"/>
      <w:szCs w:val="22"/>
    </w:rPr>
  </w:style>
  <w:style w:type="paragraph" w:styleId="18">
    <w:name w:val="toc 2"/>
    <w:basedOn w:val="1"/>
    <w:next w:val="1"/>
    <w:autoRedefine/>
    <w:qFormat/>
    <w:uiPriority w:val="39"/>
    <w:pPr>
      <w:ind w:left="420" w:leftChars="200"/>
    </w:pPr>
  </w:style>
  <w:style w:type="paragraph" w:styleId="19">
    <w:name w:val="toc 9"/>
    <w:basedOn w:val="1"/>
    <w:next w:val="1"/>
    <w:autoRedefine/>
    <w:unhideWhenUsed/>
    <w:qFormat/>
    <w:uiPriority w:val="39"/>
    <w:pPr>
      <w:ind w:left="3360" w:leftChars="1600"/>
    </w:pPr>
    <w:rPr>
      <w:rFonts w:ascii="Calibri" w:hAnsi="Calibri"/>
      <w:szCs w:val="22"/>
    </w:rPr>
  </w:style>
  <w:style w:type="paragraph" w:styleId="20">
    <w:name w:val="Normal (Web)"/>
    <w:basedOn w:val="1"/>
    <w:link w:val="175"/>
    <w:qFormat/>
    <w:uiPriority w:val="99"/>
    <w:pPr>
      <w:widowControl/>
      <w:spacing w:before="100" w:beforeAutospacing="1" w:after="100" w:afterAutospacing="1"/>
      <w:jc w:val="left"/>
    </w:pPr>
    <w:rPr>
      <w:rFonts w:hint="eastAsia" w:ascii="宋体" w:hAnsi="宋体"/>
      <w:kern w:val="0"/>
      <w:sz w:val="24"/>
    </w:rPr>
  </w:style>
  <w:style w:type="paragraph" w:styleId="21">
    <w:name w:val="Title"/>
    <w:basedOn w:val="1"/>
    <w:next w:val="1"/>
    <w:link w:val="99"/>
    <w:qFormat/>
    <w:uiPriority w:val="0"/>
    <w:pPr>
      <w:spacing w:before="240" w:after="60"/>
      <w:jc w:val="center"/>
      <w:outlineLvl w:val="0"/>
    </w:pPr>
    <w:rPr>
      <w:rFonts w:ascii="Cambria" w:hAnsi="Cambria"/>
      <w:b/>
      <w:bCs/>
      <w:sz w:val="32"/>
      <w:szCs w:val="32"/>
    </w:rPr>
  </w:style>
  <w:style w:type="paragraph" w:styleId="22">
    <w:name w:val="annotation subject"/>
    <w:basedOn w:val="5"/>
    <w:next w:val="5"/>
    <w:link w:val="103"/>
    <w:qFormat/>
    <w:uiPriority w:val="0"/>
    <w:rPr>
      <w:b/>
      <w:bCs/>
    </w:rPr>
  </w:style>
  <w:style w:type="table" w:styleId="24">
    <w:name w:val="Table Grid"/>
    <w:basedOn w:val="23"/>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unhideWhenUsed/>
    <w:qFormat/>
    <w:uiPriority w:val="99"/>
    <w:rPr>
      <w:color w:val="800080"/>
      <w:u w:val="single"/>
    </w:rPr>
  </w:style>
  <w:style w:type="character" w:styleId="28">
    <w:name w:val="Hyperlink"/>
    <w:unhideWhenUsed/>
    <w:qFormat/>
    <w:uiPriority w:val="99"/>
    <w:rPr>
      <w:color w:val="0000FF"/>
      <w:u w:val="single"/>
    </w:rPr>
  </w:style>
  <w:style w:type="character" w:styleId="29">
    <w:name w:val="annotation reference"/>
    <w:qFormat/>
    <w:uiPriority w:val="0"/>
    <w:rPr>
      <w:sz w:val="21"/>
      <w:szCs w:val="21"/>
    </w:rPr>
  </w:style>
  <w:style w:type="character" w:customStyle="1" w:styleId="30">
    <w:name w:val="页眉 Char"/>
    <w:basedOn w:val="25"/>
    <w:link w:val="13"/>
    <w:qFormat/>
    <w:uiPriority w:val="0"/>
    <w:rPr>
      <w:sz w:val="18"/>
      <w:szCs w:val="18"/>
    </w:rPr>
  </w:style>
  <w:style w:type="character" w:customStyle="1" w:styleId="31">
    <w:name w:val="页脚 Char"/>
    <w:basedOn w:val="25"/>
    <w:link w:val="12"/>
    <w:qFormat/>
    <w:uiPriority w:val="0"/>
    <w:rPr>
      <w:sz w:val="18"/>
      <w:szCs w:val="18"/>
    </w:rPr>
  </w:style>
  <w:style w:type="character" w:customStyle="1" w:styleId="32">
    <w:name w:val="标题 1 Char"/>
    <w:basedOn w:val="25"/>
    <w:link w:val="2"/>
    <w:qFormat/>
    <w:uiPriority w:val="0"/>
    <w:rPr>
      <w:rFonts w:ascii="Times New Roman" w:hAnsi="Times New Roman" w:eastAsia="宋体" w:cs="Times New Roman"/>
      <w:b/>
      <w:bCs/>
      <w:kern w:val="44"/>
      <w:sz w:val="30"/>
      <w:szCs w:val="44"/>
    </w:rPr>
  </w:style>
  <w:style w:type="character" w:customStyle="1" w:styleId="33">
    <w:name w:val="正文文本缩进 2 Char"/>
    <w:basedOn w:val="25"/>
    <w:link w:val="10"/>
    <w:qFormat/>
    <w:uiPriority w:val="0"/>
    <w:rPr>
      <w:rFonts w:ascii="Times New Roman" w:hAnsi="Times New Roman" w:eastAsia="宋体" w:cs="Times New Roman"/>
      <w:color w:val="0000FF"/>
      <w:sz w:val="24"/>
      <w:szCs w:val="24"/>
    </w:rPr>
  </w:style>
  <w:style w:type="paragraph" w:customStyle="1" w:styleId="3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5">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6">
    <w:name w:val="font7"/>
    <w:basedOn w:val="1"/>
    <w:qFormat/>
    <w:uiPriority w:val="0"/>
    <w:pPr>
      <w:widowControl/>
      <w:spacing w:before="100" w:beforeAutospacing="1" w:after="100" w:afterAutospacing="1"/>
      <w:jc w:val="left"/>
    </w:pPr>
    <w:rPr>
      <w:kern w:val="0"/>
      <w:sz w:val="20"/>
      <w:szCs w:val="20"/>
    </w:rPr>
  </w:style>
  <w:style w:type="paragraph" w:customStyle="1" w:styleId="37">
    <w:name w:val="font8"/>
    <w:basedOn w:val="1"/>
    <w:qFormat/>
    <w:uiPriority w:val="0"/>
    <w:pPr>
      <w:widowControl/>
      <w:spacing w:before="100" w:beforeAutospacing="1" w:after="100" w:afterAutospacing="1"/>
      <w:jc w:val="left"/>
    </w:pPr>
    <w:rPr>
      <w:kern w:val="0"/>
      <w:sz w:val="20"/>
      <w:szCs w:val="20"/>
    </w:rPr>
  </w:style>
  <w:style w:type="paragraph" w:customStyle="1" w:styleId="3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3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4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1">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2">
    <w:name w:val="xl28"/>
    <w:basedOn w:val="1"/>
    <w:qFormat/>
    <w:uiPriority w:val="0"/>
    <w:pPr>
      <w:widowControl/>
      <w:pBdr>
        <w:left w:val="single" w:color="auto" w:sz="4" w:space="0"/>
        <w:bottom w:val="single" w:color="auto" w:sz="8" w:space="0"/>
        <w:right w:val="single" w:color="auto" w:sz="4" w:space="0"/>
      </w:pBdr>
      <w:spacing w:before="100" w:beforeAutospacing="1" w:after="100" w:afterAutospacing="1"/>
      <w:jc w:val="center"/>
    </w:pPr>
    <w:rPr>
      <w:rFonts w:ascii="宋体" w:hAnsi="宋体"/>
      <w:kern w:val="0"/>
      <w:sz w:val="20"/>
      <w:szCs w:val="20"/>
    </w:rPr>
  </w:style>
  <w:style w:type="paragraph" w:customStyle="1" w:styleId="4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44">
    <w:name w:val="xl30"/>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4"/>
    </w:rPr>
  </w:style>
  <w:style w:type="paragraph" w:customStyle="1" w:styleId="46">
    <w:name w:val="xl32"/>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7">
    <w:name w:val="xl33"/>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8">
    <w:name w:val="xl3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9">
    <w:name w:val="xl35"/>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szCs w:val="20"/>
    </w:rPr>
  </w:style>
  <w:style w:type="paragraph" w:customStyle="1" w:styleId="50">
    <w:name w:val="xl36"/>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1">
    <w:name w:val="xl3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2">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3">
    <w:name w:val="xl39"/>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54">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56">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7">
    <w:name w:val="xl43"/>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58">
    <w:name w:val="xl4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9">
    <w:name w:val="xl4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b/>
      <w:bCs/>
      <w:kern w:val="0"/>
      <w:sz w:val="24"/>
    </w:rPr>
  </w:style>
  <w:style w:type="paragraph" w:customStyle="1" w:styleId="60">
    <w:name w:val="xl4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1">
    <w:name w:val="xl4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b/>
      <w:bCs/>
      <w:kern w:val="0"/>
      <w:sz w:val="24"/>
    </w:rPr>
  </w:style>
  <w:style w:type="paragraph" w:customStyle="1" w:styleId="62">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0"/>
      <w:szCs w:val="20"/>
    </w:rPr>
  </w:style>
  <w:style w:type="paragraph" w:customStyle="1" w:styleId="63">
    <w:name w:val="xl4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64">
    <w:name w:val="xl50"/>
    <w:basedOn w:val="1"/>
    <w:qFormat/>
    <w:uiPriority w:val="0"/>
    <w:pPr>
      <w:widowControl/>
      <w:pBdr>
        <w:left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5">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0"/>
      <w:szCs w:val="20"/>
    </w:rPr>
  </w:style>
  <w:style w:type="paragraph" w:customStyle="1" w:styleId="66">
    <w:name w:val="xl5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67">
    <w:name w:val="xl5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8">
    <w:name w:val="xl5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69">
    <w:name w:val="xl55"/>
    <w:basedOn w:val="1"/>
    <w:qFormat/>
    <w:uiPriority w:val="0"/>
    <w:pPr>
      <w:widowControl/>
      <w:pBdr>
        <w:top w:val="single" w:color="auto" w:sz="8" w:space="0"/>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0">
    <w:name w:val="xl56"/>
    <w:basedOn w:val="1"/>
    <w:qFormat/>
    <w:uiPriority w:val="0"/>
    <w:pPr>
      <w:widowControl/>
      <w:pBdr>
        <w:top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1">
    <w:name w:val="xl5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0"/>
      <w:szCs w:val="20"/>
    </w:rPr>
  </w:style>
  <w:style w:type="paragraph" w:customStyle="1" w:styleId="72">
    <w:name w:val="xl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73">
    <w:name w:val="xl5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b/>
      <w:bCs/>
      <w:kern w:val="0"/>
      <w:sz w:val="24"/>
    </w:rPr>
  </w:style>
  <w:style w:type="paragraph" w:customStyle="1" w:styleId="74">
    <w:name w:val="xl6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b/>
      <w:bCs/>
      <w:kern w:val="0"/>
      <w:sz w:val="24"/>
    </w:rPr>
  </w:style>
  <w:style w:type="paragraph" w:customStyle="1" w:styleId="75">
    <w:name w:val="xl6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b/>
      <w:bCs/>
      <w:kern w:val="0"/>
      <w:sz w:val="24"/>
    </w:rPr>
  </w:style>
  <w:style w:type="paragraph" w:customStyle="1" w:styleId="76">
    <w:name w:val="xl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b/>
      <w:bCs/>
      <w:kern w:val="0"/>
      <w:sz w:val="24"/>
    </w:rPr>
  </w:style>
  <w:style w:type="paragraph" w:customStyle="1" w:styleId="77">
    <w:name w:val="xl63"/>
    <w:basedOn w:val="1"/>
    <w:qFormat/>
    <w:uiPriority w:val="0"/>
    <w:pPr>
      <w:widowControl/>
      <w:pBdr>
        <w:top w:val="single" w:color="auto" w:sz="4" w:space="0"/>
        <w:left w:val="single" w:color="auto" w:sz="4" w:space="0"/>
        <w:bottom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78">
    <w:name w:val="xl64"/>
    <w:basedOn w:val="1"/>
    <w:qFormat/>
    <w:uiPriority w:val="0"/>
    <w:pPr>
      <w:widowControl/>
      <w:pBdr>
        <w:top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9">
    <w:name w:val="xl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80">
    <w:name w:val="xl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81">
    <w:name w:val="xl67"/>
    <w:basedOn w:val="1"/>
    <w:qFormat/>
    <w:uiPriority w:val="0"/>
    <w:pPr>
      <w:widowControl/>
      <w:pBdr>
        <w:left w:val="single" w:color="auto" w:sz="8"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82">
    <w:name w:val="xl68"/>
    <w:basedOn w:val="1"/>
    <w:qFormat/>
    <w:uiPriority w:val="0"/>
    <w:pPr>
      <w:widowControl/>
      <w:pBdr>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83">
    <w:name w:val="xl69"/>
    <w:basedOn w:val="1"/>
    <w:qFormat/>
    <w:uiPriority w:val="0"/>
    <w:pPr>
      <w:widowControl/>
      <w:pBdr>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84">
    <w:name w:val="xl70"/>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85">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6">
    <w:name w:val="xl7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87">
    <w:name w:val="xl73"/>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88">
    <w:name w:val="xl74"/>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0"/>
      <w:szCs w:val="20"/>
    </w:rPr>
  </w:style>
  <w:style w:type="paragraph" w:customStyle="1" w:styleId="89">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b/>
      <w:bCs/>
      <w:kern w:val="0"/>
      <w:sz w:val="24"/>
    </w:rPr>
  </w:style>
  <w:style w:type="paragraph" w:customStyle="1" w:styleId="90">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b/>
      <w:bCs/>
      <w:kern w:val="0"/>
      <w:sz w:val="24"/>
    </w:rPr>
  </w:style>
  <w:style w:type="paragraph" w:customStyle="1" w:styleId="91">
    <w:name w:val="font9"/>
    <w:basedOn w:val="1"/>
    <w:qFormat/>
    <w:uiPriority w:val="0"/>
    <w:pPr>
      <w:widowControl/>
      <w:spacing w:before="100" w:beforeAutospacing="1" w:after="100" w:afterAutospacing="1"/>
      <w:jc w:val="left"/>
    </w:pPr>
    <w:rPr>
      <w:b/>
      <w:bCs/>
      <w:kern w:val="0"/>
      <w:sz w:val="24"/>
    </w:rPr>
  </w:style>
  <w:style w:type="character" w:customStyle="1" w:styleId="92">
    <w:name w:val="正文文本缩进 Char"/>
    <w:basedOn w:val="25"/>
    <w:link w:val="6"/>
    <w:qFormat/>
    <w:uiPriority w:val="0"/>
    <w:rPr>
      <w:rFonts w:ascii="Times New Roman" w:hAnsi="Times New Roman" w:eastAsia="宋体" w:cs="Times New Roman"/>
      <w:szCs w:val="24"/>
    </w:rPr>
  </w:style>
  <w:style w:type="paragraph" w:customStyle="1" w:styleId="93">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4">
    <w:name w:val="Char1"/>
    <w:basedOn w:val="1"/>
    <w:qFormat/>
    <w:uiPriority w:val="0"/>
  </w:style>
  <w:style w:type="paragraph" w:customStyle="1" w:styleId="95">
    <w:name w:val="Pied de page (premier)"/>
    <w:qFormat/>
    <w:uiPriority w:val="0"/>
    <w:pPr>
      <w:pBdr>
        <w:top w:val="single" w:color="auto" w:sz="6" w:space="12"/>
      </w:pBdr>
      <w:autoSpaceDE w:val="0"/>
      <w:autoSpaceDN w:val="0"/>
      <w:adjustRightInd w:val="0"/>
      <w:jc w:val="center"/>
      <w:textAlignment w:val="baseline"/>
    </w:pPr>
    <w:rPr>
      <w:rFonts w:ascii="宋体" w:hAnsi="Times New Roman" w:eastAsia="宋体" w:cs="Times New Roman"/>
      <w:i/>
      <w:kern w:val="0"/>
      <w:sz w:val="18"/>
      <w:szCs w:val="20"/>
      <w:lang w:val="en-US" w:eastAsia="zh-CN" w:bidi="ar-SA"/>
    </w:rPr>
  </w:style>
  <w:style w:type="character" w:customStyle="1" w:styleId="96">
    <w:name w:val="批注框文本 Char"/>
    <w:basedOn w:val="25"/>
    <w:link w:val="11"/>
    <w:qFormat/>
    <w:uiPriority w:val="0"/>
    <w:rPr>
      <w:rFonts w:ascii="Times New Roman" w:hAnsi="Times New Roman" w:eastAsia="宋体" w:cs="Times New Roman"/>
      <w:sz w:val="18"/>
      <w:szCs w:val="18"/>
    </w:rPr>
  </w:style>
  <w:style w:type="paragraph" w:customStyle="1" w:styleId="97">
    <w:name w:val="Char Char Char Char"/>
    <w:basedOn w:val="1"/>
    <w:qFormat/>
    <w:uiPriority w:val="0"/>
  </w:style>
  <w:style w:type="paragraph" w:customStyle="1" w:styleId="98">
    <w:name w:val="TOC Heading"/>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99">
    <w:name w:val="标题 Char"/>
    <w:basedOn w:val="25"/>
    <w:link w:val="21"/>
    <w:qFormat/>
    <w:uiPriority w:val="0"/>
    <w:rPr>
      <w:rFonts w:ascii="Cambria" w:hAnsi="Cambria" w:eastAsia="宋体" w:cs="Times New Roman"/>
      <w:b/>
      <w:bCs/>
      <w:sz w:val="32"/>
      <w:szCs w:val="32"/>
    </w:rPr>
  </w:style>
  <w:style w:type="character" w:customStyle="1" w:styleId="100">
    <w:name w:val="副标题 Char"/>
    <w:basedOn w:val="25"/>
    <w:link w:val="16"/>
    <w:qFormat/>
    <w:uiPriority w:val="0"/>
    <w:rPr>
      <w:rFonts w:ascii="Cambria" w:hAnsi="Cambria" w:eastAsia="宋体" w:cs="Times New Roman"/>
      <w:b/>
      <w:bCs/>
      <w:kern w:val="28"/>
      <w:sz w:val="32"/>
      <w:szCs w:val="32"/>
    </w:rPr>
  </w:style>
  <w:style w:type="paragraph" w:customStyle="1" w:styleId="101">
    <w:name w:val="副标题1"/>
    <w:basedOn w:val="16"/>
    <w:qFormat/>
    <w:uiPriority w:val="0"/>
    <w:pPr>
      <w:spacing w:before="60" w:line="360" w:lineRule="auto"/>
      <w:jc w:val="left"/>
    </w:pPr>
    <w:rPr>
      <w:rFonts w:ascii="黑体" w:hAnsi="黑体" w:eastAsia="黑体"/>
      <w:sz w:val="24"/>
      <w:szCs w:val="24"/>
    </w:rPr>
  </w:style>
  <w:style w:type="character" w:customStyle="1" w:styleId="102">
    <w:name w:val="批注文字 Char"/>
    <w:basedOn w:val="25"/>
    <w:link w:val="5"/>
    <w:qFormat/>
    <w:uiPriority w:val="0"/>
    <w:rPr>
      <w:rFonts w:ascii="Times New Roman" w:hAnsi="Times New Roman" w:eastAsia="宋体" w:cs="Times New Roman"/>
      <w:szCs w:val="24"/>
    </w:rPr>
  </w:style>
  <w:style w:type="character" w:customStyle="1" w:styleId="103">
    <w:name w:val="批注主题 Char"/>
    <w:basedOn w:val="102"/>
    <w:link w:val="22"/>
    <w:qFormat/>
    <w:uiPriority w:val="0"/>
    <w:rPr>
      <w:rFonts w:ascii="Times New Roman" w:hAnsi="Times New Roman" w:eastAsia="宋体" w:cs="Times New Roman"/>
      <w:b/>
      <w:bCs/>
      <w:szCs w:val="24"/>
    </w:rPr>
  </w:style>
  <w:style w:type="paragraph" w:customStyle="1" w:styleId="104">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05">
    <w:name w:val="font10"/>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106">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0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0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b/>
      <w:bCs/>
      <w:kern w:val="0"/>
      <w:sz w:val="24"/>
    </w:rPr>
  </w:style>
  <w:style w:type="paragraph" w:customStyle="1" w:styleId="11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kern w:val="0"/>
      <w:sz w:val="24"/>
    </w:rPr>
  </w:style>
  <w:style w:type="paragraph" w:customStyle="1" w:styleId="11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kern w:val="0"/>
      <w:sz w:val="24"/>
    </w:rPr>
  </w:style>
  <w:style w:type="paragraph" w:customStyle="1" w:styleId="11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1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14">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4"/>
    </w:rPr>
  </w:style>
  <w:style w:type="paragraph" w:customStyle="1" w:styleId="11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kern w:val="0"/>
      <w:sz w:val="24"/>
    </w:rPr>
  </w:style>
  <w:style w:type="paragraph" w:customStyle="1" w:styleId="11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1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1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1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2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2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6">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27">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2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b/>
      <w:bCs/>
      <w:kern w:val="0"/>
      <w:sz w:val="24"/>
    </w:rPr>
  </w:style>
  <w:style w:type="paragraph" w:customStyle="1" w:styleId="129">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30">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31">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32">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33">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3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3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36">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37">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38">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39">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40">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41">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4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43">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44">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45">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46">
    <w:name w:val="xl11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Arial" w:hAnsi="Arial" w:cs="Arial"/>
      <w:kern w:val="0"/>
      <w:sz w:val="24"/>
    </w:rPr>
  </w:style>
  <w:style w:type="paragraph" w:customStyle="1" w:styleId="147">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48">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9">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0">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1">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52">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3">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5">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56">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kern w:val="0"/>
      <w:sz w:val="24"/>
    </w:rPr>
  </w:style>
  <w:style w:type="paragraph" w:customStyle="1" w:styleId="157">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58">
    <w:name w:val="xl128"/>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59">
    <w:name w:val="xl129"/>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160">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61">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62">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163">
    <w:name w:val="xl1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64">
    <w:name w:val="xl13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w:hAnsi="Arial" w:cs="Arial"/>
      <w:kern w:val="0"/>
      <w:sz w:val="24"/>
    </w:rPr>
  </w:style>
  <w:style w:type="paragraph" w:customStyle="1" w:styleId="165">
    <w:name w:val="xl13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66">
    <w:name w:val="xl136"/>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67">
    <w:name w:val="xl1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kern w:val="0"/>
      <w:sz w:val="24"/>
    </w:rPr>
  </w:style>
  <w:style w:type="paragraph" w:customStyle="1" w:styleId="168">
    <w:name w:val="xl13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9">
    <w:name w:val="xl13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70">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character" w:customStyle="1" w:styleId="171">
    <w:name w:val="font51"/>
    <w:qFormat/>
    <w:uiPriority w:val="0"/>
    <w:rPr>
      <w:rFonts w:hint="default" w:ascii="Arial" w:hAnsi="Arial" w:cs="Arial"/>
      <w:color w:val="000000"/>
      <w:sz w:val="18"/>
      <w:szCs w:val="18"/>
      <w:u w:val="none"/>
    </w:rPr>
  </w:style>
  <w:style w:type="character" w:customStyle="1" w:styleId="172">
    <w:name w:val="font01"/>
    <w:qFormat/>
    <w:uiPriority w:val="0"/>
    <w:rPr>
      <w:rFonts w:hint="default" w:ascii="Arial" w:hAnsi="Arial" w:cs="Arial"/>
      <w:color w:val="000000"/>
      <w:sz w:val="18"/>
      <w:szCs w:val="18"/>
      <w:u w:val="none"/>
      <w:vertAlign w:val="superscript"/>
    </w:rPr>
  </w:style>
  <w:style w:type="character" w:customStyle="1" w:styleId="173">
    <w:name w:val="font21"/>
    <w:qFormat/>
    <w:uiPriority w:val="0"/>
    <w:rPr>
      <w:rFonts w:hint="eastAsia" w:ascii="宋体" w:hAnsi="宋体" w:eastAsia="宋体" w:cs="宋体"/>
      <w:color w:val="000000"/>
      <w:sz w:val="18"/>
      <w:szCs w:val="18"/>
      <w:u w:val="none"/>
    </w:rPr>
  </w:style>
  <w:style w:type="character" w:customStyle="1" w:styleId="174">
    <w:name w:val="font41"/>
    <w:qFormat/>
    <w:uiPriority w:val="0"/>
    <w:rPr>
      <w:rFonts w:hint="eastAsia" w:ascii="宋体" w:hAnsi="宋体" w:eastAsia="宋体" w:cs="宋体"/>
      <w:b/>
      <w:color w:val="000000"/>
      <w:sz w:val="18"/>
      <w:szCs w:val="18"/>
      <w:u w:val="none"/>
    </w:rPr>
  </w:style>
  <w:style w:type="character" w:customStyle="1" w:styleId="175">
    <w:name w:val="普通(网站) Char"/>
    <w:link w:val="20"/>
    <w:uiPriority w:val="99"/>
    <w:rPr>
      <w:rFonts w:ascii="宋体" w:hAnsi="宋体" w:eastAsia="宋体" w:cs="Times New Roman"/>
      <w:kern w:val="0"/>
      <w:sz w:val="24"/>
      <w:szCs w:val="24"/>
    </w:rPr>
  </w:style>
  <w:style w:type="paragraph" w:styleId="176">
    <w:name w:val="List Paragraph"/>
    <w:basedOn w:val="1"/>
    <w:qFormat/>
    <w:uiPriority w:val="34"/>
    <w:pPr>
      <w:ind w:firstLine="420" w:firstLineChars="200"/>
    </w:pPr>
  </w:style>
  <w:style w:type="character" w:customStyle="1" w:styleId="177">
    <w:name w:val="标题 2 Char"/>
    <w:basedOn w:val="25"/>
    <w:link w:val="3"/>
    <w:qFormat/>
    <w:uiPriority w:val="9"/>
    <w:rPr>
      <w:rFonts w:ascii="宋体" w:hAnsi="宋体" w:eastAsiaTheme="majorEastAsia" w:cstheme="majorBidi"/>
      <w:b/>
      <w:bCs/>
      <w:sz w:val="24"/>
      <w:szCs w:val="32"/>
    </w:rPr>
  </w:style>
  <w:style w:type="paragraph" w:customStyle="1" w:styleId="178">
    <w:name w:val="Blockquote"/>
    <w:basedOn w:val="1"/>
    <w:qFormat/>
    <w:uiPriority w:val="0"/>
    <w:pPr>
      <w:autoSpaceDE w:val="0"/>
      <w:autoSpaceDN w:val="0"/>
      <w:adjustRightInd w:val="0"/>
      <w:spacing w:before="100" w:after="100"/>
      <w:ind w:left="360" w:right="360"/>
      <w:jc w:val="left"/>
    </w:pPr>
    <w:rPr>
      <w:rFonts w:ascii="Calibri" w:hAnsi="Calibri"/>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4728D-A3DE-4DE6-B21F-9EC53EC09B8D}">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14784</Words>
  <Characters>15466</Characters>
  <Lines>254</Lines>
  <Paragraphs>71</Paragraphs>
  <TotalTime>2</TotalTime>
  <ScaleCrop>false</ScaleCrop>
  <LinksUpToDate>false</LinksUpToDate>
  <CharactersWithSpaces>16470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2024-12-30T06:47:00Z</dcterms:created>
  <dc:creator>???</dc:creator>
  <cp:lastModifiedBy>马健钟</cp:lastModifiedBy>
  <cp:lastPrinted>2025-12-01T02:50:00Z</cp:lastPrinted>
  <dcterms:modified xsi:type="dcterms:W3CDTF">2026-07-21T02:49:57Z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186A2D7262F8436A9ECE07CAF4E88C6C_13</vt:lpwstr>
  </property>
  <property fmtid="{D5CDD505-2E9C-101B-9397-08002B2CF9AE}" pid="4" name="KSOTemplateDocerSaveRecord">
    <vt:lpwstr>eyJoZGlkIjoiNTYzNjIwMzRlNGQ3MTY2N2Q4MGUzNzBmODhkNDZmYmEiLCJ1c2VySWQiOiI2NjA1NTM1NjMifQ==</vt:lpwstr>
  </property>
</Properties>
</file>