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3AD92">
      <w:pPr>
        <w:tabs>
          <w:tab w:val="left" w:pos="5400"/>
        </w:tabs>
        <w:rPr>
          <w:rFonts w:ascii="华文楷体" w:hAnsi="华文楷体" w:eastAsia="华文楷体"/>
          <w:b/>
          <w:bCs/>
          <w:sz w:val="30"/>
          <w:szCs w:val="30"/>
        </w:rPr>
      </w:pPr>
      <w:r>
        <w:rPr>
          <w:rFonts w:hint="eastAsia" w:ascii="华文楷体" w:hAnsi="华文楷体" w:eastAsia="华文楷体"/>
          <w:sz w:val="30"/>
          <w:szCs w:val="30"/>
        </w:rPr>
        <w:t xml:space="preserve"> </w:t>
      </w:r>
      <w:r>
        <w:drawing>
          <wp:inline distT="0" distB="0" distL="0" distR="0">
            <wp:extent cx="2077085" cy="325755"/>
            <wp:effectExtent l="0" t="0" r="0" b="0"/>
            <wp:docPr id="4" name="图片 4" descr="C:\Users\dudebiao\AppData\Local\Temp\企业微信截图_176215606997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dudebiao\AppData\Local\Temp\企业微信截图_17621560699798.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077641" cy="326155"/>
                    </a:xfrm>
                    <a:prstGeom prst="rect">
                      <a:avLst/>
                    </a:prstGeom>
                    <a:noFill/>
                    <a:ln>
                      <a:noFill/>
                    </a:ln>
                  </pic:spPr>
                </pic:pic>
              </a:graphicData>
            </a:graphic>
          </wp:inline>
        </w:drawing>
      </w:r>
      <w:r>
        <w:rPr>
          <w:rFonts w:hint="eastAsia" w:ascii="华文楷体" w:hAnsi="华文楷体" w:eastAsia="华文楷体"/>
          <w:sz w:val="30"/>
          <w:szCs w:val="30"/>
        </w:rPr>
        <w:t xml:space="preserve">                                                    </w:t>
      </w:r>
      <w:r>
        <w:rPr>
          <w:rFonts w:ascii="华文楷体" w:hAnsi="华文楷体" w:eastAsia="华文楷体"/>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14:paraId="413FF8FD">
      <w:pPr>
        <w:pStyle w:val="4"/>
        <w:ind w:left="0" w:leftChars="0" w:firstLine="602"/>
        <w:jc w:val="center"/>
        <w:rPr>
          <w:rFonts w:ascii="华文楷体" w:hAnsi="华文楷体" w:eastAsia="华文楷体"/>
          <w:sz w:val="30"/>
          <w:szCs w:val="30"/>
        </w:rPr>
      </w:pPr>
      <w:r>
        <w:rPr>
          <w:rFonts w:hint="eastAsia" w:ascii="华文楷体" w:hAnsi="华文楷体" w:eastAsia="华文楷体"/>
          <w:b/>
          <w:bCs/>
          <w:sz w:val="30"/>
          <w:szCs w:val="30"/>
        </w:rPr>
        <w:t xml:space="preserve">                        </w:t>
      </w:r>
    </w:p>
    <w:p w14:paraId="5495B882">
      <w:pPr>
        <w:rPr>
          <w:rFonts w:ascii="华文楷体" w:hAnsi="华文楷体" w:eastAsia="华文楷体"/>
          <w:sz w:val="30"/>
          <w:szCs w:val="30"/>
        </w:rPr>
      </w:pPr>
    </w:p>
    <w:p w14:paraId="639A69D1">
      <w:pPr>
        <w:rPr>
          <w:rFonts w:ascii="华文楷体" w:hAnsi="华文楷体" w:eastAsia="华文楷体"/>
          <w:color w:val="FF0000"/>
          <w:sz w:val="30"/>
          <w:szCs w:val="30"/>
        </w:rPr>
      </w:pPr>
    </w:p>
    <w:p w14:paraId="5908BF24">
      <w:pPr>
        <w:jc w:val="center"/>
        <w:rPr>
          <w:rFonts w:ascii="宋体" w:hAnsi="宋体"/>
          <w:b/>
          <w:bCs/>
          <w:sz w:val="30"/>
          <w:szCs w:val="30"/>
        </w:rPr>
      </w:pPr>
      <w:r>
        <w:rPr>
          <w:rFonts w:hint="eastAsia" w:ascii="宋体" w:hAnsi="宋体"/>
          <w:b/>
          <w:sz w:val="60"/>
          <w:szCs w:val="60"/>
          <w:lang w:val="en-US" w:eastAsia="zh-CN"/>
        </w:rPr>
        <w:t>华新建材集团股份</w:t>
      </w:r>
      <w:r>
        <w:rPr>
          <w:rFonts w:hint="eastAsia" w:ascii="宋体" w:hAnsi="宋体"/>
          <w:b/>
          <w:sz w:val="60"/>
          <w:szCs w:val="60"/>
        </w:rPr>
        <w:t>有限公司</w:t>
      </w:r>
    </w:p>
    <w:p w14:paraId="74F94BFD">
      <w:pPr>
        <w:jc w:val="center"/>
        <w:rPr>
          <w:rFonts w:ascii="宋体" w:hAnsi="宋体"/>
          <w:b/>
          <w:bCs/>
          <w:sz w:val="30"/>
          <w:szCs w:val="30"/>
        </w:rPr>
      </w:pPr>
    </w:p>
    <w:p w14:paraId="0596910E">
      <w:pPr>
        <w:jc w:val="center"/>
        <w:rPr>
          <w:rFonts w:ascii="宋体" w:hAnsi="宋体"/>
          <w:b/>
          <w:sz w:val="60"/>
          <w:szCs w:val="60"/>
        </w:rPr>
      </w:pPr>
      <w:r>
        <w:rPr>
          <w:rFonts w:hint="eastAsia" w:ascii="宋体" w:hAnsi="宋体"/>
          <w:b/>
          <w:sz w:val="60"/>
          <w:szCs w:val="60"/>
        </w:rPr>
        <w:t>2026年</w:t>
      </w:r>
      <w:r>
        <w:rPr>
          <w:rFonts w:hint="eastAsia" w:ascii="宋体" w:hAnsi="宋体"/>
          <w:b/>
          <w:sz w:val="60"/>
          <w:szCs w:val="60"/>
          <w:lang w:val="en-US" w:eastAsia="zh-CN"/>
        </w:rPr>
        <w:t>7</w:t>
      </w:r>
      <w:r>
        <w:rPr>
          <w:rFonts w:hint="eastAsia" w:ascii="宋体" w:hAnsi="宋体"/>
          <w:b/>
          <w:sz w:val="60"/>
          <w:szCs w:val="60"/>
        </w:rPr>
        <w:t>月煤炭招选书</w:t>
      </w:r>
    </w:p>
    <w:p w14:paraId="244CDEDD">
      <w:pPr>
        <w:jc w:val="center"/>
        <w:rPr>
          <w:rFonts w:ascii="宋体" w:hAnsi="宋体"/>
          <w:b/>
          <w:bCs/>
          <w:sz w:val="30"/>
          <w:szCs w:val="30"/>
        </w:rPr>
      </w:pPr>
    </w:p>
    <w:p w14:paraId="3BF2B077">
      <w:pPr>
        <w:jc w:val="center"/>
        <w:rPr>
          <w:rFonts w:ascii="宋体" w:hAnsi="宋体"/>
          <w:b/>
          <w:bCs/>
          <w:sz w:val="30"/>
          <w:szCs w:val="30"/>
        </w:rPr>
      </w:pPr>
    </w:p>
    <w:p w14:paraId="20F41A82">
      <w:pPr>
        <w:jc w:val="center"/>
        <w:rPr>
          <w:rFonts w:ascii="宋体" w:hAnsi="宋体"/>
          <w:b/>
          <w:bCs/>
          <w:sz w:val="30"/>
          <w:szCs w:val="30"/>
        </w:rPr>
      </w:pPr>
      <w:r>
        <w:rPr>
          <w:rFonts w:hint="eastAsia" w:ascii="宋体" w:hAnsi="宋体"/>
          <w:b/>
          <w:bCs/>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14:paraId="4088D5C7">
                            <w:pPr>
                              <w:ind w:firstLine="3012" w:firstLineChars="1000"/>
                              <w:rPr>
                                <w:rFonts w:ascii="黑体" w:eastAsia="黑体"/>
                                <w:b/>
                                <w:sz w:val="30"/>
                                <w:szCs w:val="30"/>
                              </w:rPr>
                            </w:pPr>
                          </w:p>
                          <w:p w14:paraId="568A5855">
                            <w:pPr>
                              <w:jc w:val="center"/>
                              <w:rPr>
                                <w:rFonts w:ascii="Arial" w:hAnsi="Arial" w:eastAsia="Arial Unicode MS" w:cs="Arial"/>
                                <w:sz w:val="30"/>
                                <w:szCs w:val="30"/>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3.85pt;margin-top:22.25pt;height:36.55pt;width:595pt;z-index:251659264;mso-width-relative:page;mso-height-relative:page;" filled="f" stroked="f" coordsize="21600,21600" o:gfxdata="UEsDBAoAAAAAAIdO4kAAAAAAAAAAAAAAAAAEAAAAZHJzL1BLAwQUAAAACACHTuJAyOY7S9oAAAAM&#10;AQAADwAAAGRycy9kb3ducmV2LnhtbE2PTU/DMAyG70j8h8hI3Dano1u30nQHEFcQ40PaLWu8tqJx&#10;qiZby78nO7GbLT96/bzFdrKdONPgW8cKkrkEQVw503Kt4PPjZbYG4YNmozvHpOCXPGzL25tC58aN&#10;/E7nXahFDGGfawVNCH2O6KuGrPZz1xPH29ENVoe4DjWaQY8x3Ha4kHKFVrccPzS6p6eGqp/dySr4&#10;ej3uv1P5Vj/bZT+6SSLbDSp1f5fIRxCBpvAPw0U/qkMZnQ7uxMaLTsEskVkWWQVpugRxIeR68QDi&#10;EKckWwGWBV6XKP8AUEsDBBQAAAAIAIdO4kBwO2QwFwIAABUEAAAOAAAAZHJzL2Uyb0RvYy54bWyt&#10;U81uEzEQviPxDpbvZJMom5ZVNlVpVIRUfqTCAzheb9Zi7TFjJ7vlAeANeuLCnefKczD2piGUSw9c&#10;LNsz/ub7vhkvLnrTsp1Cr8GWfDIac6ashErbTck/fbx+cc6ZD8JWogWrSn6nPL9YPn+26FyhptBA&#10;WylkBGJ90bmSNyG4Isu8bJQRfgROWQrWgEYEOuImq1B0hG7abDoez7MOsHIIUnlPt6shyA+I+BRA&#10;qGst1Qrk1igbBlRUrQgkyTfaeb5MbOtayfC+rr0KrC05KQ1ppSK0X8c1Wy5EsUHhGi0PFMRTKDzS&#10;ZIS2VPQItRJBsC3qf6CMlgge6jCSYLJBSHKEVEzGj7y5bYRTSQtZ7d3RdP//YOW73Qdkuip5zpkV&#10;hhq+v/++//Fr//Mby6M9nfMFZd06ygv9K+hpaJJU725AfvbMwlUj7EZdIkLXKFERvUl8mZ08HXB8&#10;BFl3b6GiOmIbIAH1NZroHbnBCJ1ac3dsjeoDk3R5lufzfEwhSbHZfDY5T+QyUTy8dujDawWGxU3J&#10;kVqf0MXuxofIRhQPKbGYhWvdtqn9rf3rghLjTWIfCQ/UQ7/uD26sobojHQjDNNFfok0D+JWzjiap&#10;5P7LVqDirH1jyYuXk9ksjl46zPKzKR3wNLI+jQgrCarkgbNhexWGcd061JuGKg3uW7gk/2qdpEWj&#10;B1YH3jQtSfFhsuM4np5T1p/fvP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OY7S9oAAAAMAQAA&#10;DwAAAAAAAAABACAAAAAiAAAAZHJzL2Rvd25yZXYueG1sUEsBAhQAFAAAAAgAh07iQHA7ZDAXAgAA&#10;FQQAAA4AAAAAAAAAAQAgAAAAKQEAAGRycy9lMm9Eb2MueG1sUEsFBgAAAAAGAAYAWQEAALIFAAAA&#10;AA==&#10;">
                <v:fill on="f" focussize="0,0"/>
                <v:stroke on="f"/>
                <v:imagedata o:title=""/>
                <o:lock v:ext="edit" aspectratio="f"/>
                <v:textbox>
                  <w:txbxContent>
                    <w:p w14:paraId="4088D5C7">
                      <w:pPr>
                        <w:ind w:firstLine="3012" w:firstLineChars="1000"/>
                        <w:rPr>
                          <w:rFonts w:ascii="黑体" w:eastAsia="黑体"/>
                          <w:b/>
                          <w:sz w:val="30"/>
                          <w:szCs w:val="30"/>
                        </w:rPr>
                      </w:pPr>
                    </w:p>
                    <w:p w14:paraId="568A5855">
                      <w:pPr>
                        <w:jc w:val="center"/>
                        <w:rPr>
                          <w:rFonts w:ascii="Arial" w:hAnsi="Arial" w:eastAsia="Arial Unicode MS" w:cs="Arial"/>
                          <w:sz w:val="30"/>
                          <w:szCs w:val="30"/>
                        </w:rPr>
                      </w:pPr>
                    </w:p>
                  </w:txbxContent>
                </v:textbox>
              </v:shape>
            </w:pict>
          </mc:Fallback>
        </mc:AlternateContent>
      </w:r>
    </w:p>
    <w:p w14:paraId="6535CD17">
      <w:pPr>
        <w:jc w:val="center"/>
        <w:rPr>
          <w:rFonts w:ascii="宋体" w:hAnsi="宋体"/>
          <w:b/>
          <w:bCs/>
          <w:sz w:val="30"/>
          <w:szCs w:val="30"/>
        </w:rPr>
      </w:pPr>
    </w:p>
    <w:p w14:paraId="36695397">
      <w:pPr>
        <w:jc w:val="center"/>
        <w:rPr>
          <w:rFonts w:ascii="宋体" w:hAnsi="宋体"/>
          <w:b/>
          <w:bCs/>
          <w:sz w:val="30"/>
          <w:szCs w:val="30"/>
        </w:rPr>
      </w:pPr>
    </w:p>
    <w:p w14:paraId="7AD8AC48">
      <w:pPr>
        <w:jc w:val="center"/>
        <w:rPr>
          <w:rFonts w:ascii="宋体" w:hAnsi="宋体"/>
          <w:b/>
          <w:sz w:val="36"/>
          <w:szCs w:val="30"/>
        </w:rPr>
      </w:pPr>
      <w:r>
        <w:rPr>
          <w:rFonts w:hint="eastAsia" w:ascii="宋体" w:hAnsi="宋体"/>
          <w:b/>
          <w:sz w:val="36"/>
          <w:szCs w:val="30"/>
        </w:rPr>
        <w:t>二〇二六年</w:t>
      </w:r>
      <w:r>
        <w:rPr>
          <w:rFonts w:hint="eastAsia" w:ascii="宋体" w:hAnsi="宋体"/>
          <w:b/>
          <w:sz w:val="36"/>
          <w:szCs w:val="30"/>
          <w:lang w:val="en-US" w:eastAsia="zh-CN"/>
        </w:rPr>
        <w:t>七</w:t>
      </w:r>
      <w:r>
        <w:rPr>
          <w:rFonts w:hint="eastAsia" w:ascii="宋体" w:hAnsi="宋体"/>
          <w:b/>
          <w:sz w:val="36"/>
          <w:szCs w:val="30"/>
        </w:rPr>
        <w:t>月</w:t>
      </w:r>
      <w:r>
        <w:rPr>
          <w:rFonts w:hint="eastAsia" w:ascii="宋体" w:hAnsi="宋体"/>
          <w:b/>
          <w:sz w:val="36"/>
          <w:szCs w:val="30"/>
          <w:lang w:val="en-US" w:eastAsia="zh-CN"/>
        </w:rPr>
        <w:t>十六</w:t>
      </w:r>
      <w:r>
        <w:rPr>
          <w:rFonts w:hint="eastAsia" w:ascii="宋体" w:hAnsi="宋体"/>
          <w:b/>
          <w:sz w:val="36"/>
          <w:szCs w:val="30"/>
        </w:rPr>
        <w:t>日</w:t>
      </w:r>
    </w:p>
    <w:p w14:paraId="69EE09B6">
      <w:pPr>
        <w:jc w:val="center"/>
        <w:rPr>
          <w:rFonts w:ascii="宋体" w:hAnsi="宋体"/>
          <w:b/>
          <w:bCs/>
          <w:sz w:val="30"/>
          <w:szCs w:val="30"/>
        </w:rPr>
      </w:pPr>
    </w:p>
    <w:p w14:paraId="67DB115A">
      <w:pPr>
        <w:jc w:val="center"/>
        <w:rPr>
          <w:rFonts w:ascii="宋体" w:hAnsi="宋体"/>
          <w:b/>
          <w:bCs/>
          <w:sz w:val="30"/>
          <w:szCs w:val="30"/>
        </w:rPr>
      </w:pPr>
    </w:p>
    <w:p w14:paraId="02126005">
      <w:pPr>
        <w:jc w:val="center"/>
        <w:rPr>
          <w:rFonts w:ascii="宋体" w:hAnsi="宋体"/>
          <w:b/>
          <w:bCs/>
          <w:sz w:val="30"/>
          <w:szCs w:val="30"/>
        </w:rPr>
      </w:pPr>
    </w:p>
    <w:p w14:paraId="0FD35ADF">
      <w:pPr>
        <w:jc w:val="center"/>
        <w:rPr>
          <w:rFonts w:ascii="宋体" w:hAnsi="宋体"/>
          <w:b/>
          <w:bCs/>
          <w:sz w:val="30"/>
          <w:szCs w:val="30"/>
        </w:rPr>
      </w:pPr>
    </w:p>
    <w:p w14:paraId="23CD1C2A">
      <w:pPr>
        <w:jc w:val="center"/>
        <w:rPr>
          <w:rFonts w:ascii="宋体" w:hAnsi="宋体"/>
          <w:b/>
          <w:bCs/>
          <w:sz w:val="30"/>
          <w:szCs w:val="30"/>
        </w:rPr>
      </w:pPr>
    </w:p>
    <w:p w14:paraId="7BC12B98">
      <w:pPr>
        <w:jc w:val="center"/>
        <w:rPr>
          <w:rFonts w:ascii="宋体" w:hAnsi="宋体"/>
          <w:b/>
          <w:bCs/>
          <w:sz w:val="30"/>
          <w:szCs w:val="30"/>
        </w:rPr>
      </w:pPr>
      <w:r>
        <w:rPr>
          <w:rFonts w:hint="eastAsia" w:ascii="宋体" w:hAnsi="宋体"/>
          <w:b/>
          <w:bCs/>
          <w:sz w:val="30"/>
          <w:szCs w:val="30"/>
        </w:rPr>
        <w:t xml:space="preserve"> </w:t>
      </w:r>
    </w:p>
    <w:p w14:paraId="2FC44545">
      <w:pPr>
        <w:spacing w:line="540" w:lineRule="exact"/>
        <w:jc w:val="center"/>
        <w:rPr>
          <w:rFonts w:ascii="宋体" w:hAnsi="宋体"/>
          <w:b/>
          <w:sz w:val="28"/>
          <w:szCs w:val="28"/>
        </w:rPr>
      </w:pPr>
    </w:p>
    <w:p w14:paraId="6032F78D">
      <w:pPr>
        <w:spacing w:line="540" w:lineRule="exact"/>
        <w:jc w:val="center"/>
        <w:rPr>
          <w:rFonts w:hint="eastAsia" w:ascii="宋体" w:hAnsi="宋体"/>
          <w:b/>
          <w:sz w:val="32"/>
        </w:rPr>
      </w:pPr>
    </w:p>
    <w:p w14:paraId="43317E7B">
      <w:pPr>
        <w:spacing w:line="540" w:lineRule="exact"/>
        <w:jc w:val="center"/>
        <w:rPr>
          <w:rFonts w:hint="eastAsia" w:ascii="宋体" w:hAnsi="宋体"/>
          <w:b/>
          <w:sz w:val="32"/>
        </w:rPr>
      </w:pPr>
    </w:p>
    <w:p w14:paraId="6C32C8EE">
      <w:pPr>
        <w:spacing w:line="540" w:lineRule="exact"/>
        <w:jc w:val="center"/>
        <w:rPr>
          <w:rFonts w:ascii="宋体" w:hAnsi="宋体"/>
          <w:b/>
          <w:sz w:val="32"/>
        </w:rPr>
      </w:pPr>
      <w:r>
        <w:rPr>
          <w:rFonts w:hint="eastAsia" w:ascii="宋体" w:hAnsi="宋体"/>
          <w:b/>
          <w:sz w:val="32"/>
        </w:rPr>
        <w:t>一、公司及招选简介</w:t>
      </w:r>
    </w:p>
    <w:p w14:paraId="34B97754">
      <w:pPr>
        <w:spacing w:line="540" w:lineRule="exact"/>
        <w:rPr>
          <w:rFonts w:ascii="宋体" w:hAnsi="宋体"/>
          <w:sz w:val="24"/>
        </w:rPr>
      </w:pPr>
    </w:p>
    <w:p w14:paraId="08B18EE1">
      <w:pPr>
        <w:spacing w:line="540" w:lineRule="exact"/>
        <w:ind w:firstLine="480" w:firstLineChars="200"/>
        <w:rPr>
          <w:rFonts w:hint="eastAsia" w:ascii="宋体" w:hAnsi="宋体"/>
          <w:sz w:val="24"/>
        </w:rPr>
      </w:pPr>
      <w:r>
        <w:rPr>
          <w:rFonts w:hint="eastAsia" w:ascii="宋体" w:hAnsi="宋体"/>
          <w:sz w:val="24"/>
        </w:rPr>
        <w:t>华新建材集团股份有限公司始创于1907年，被誉为中国水泥工业的摇篮，110多年来为国家和地方经济社会发展作出了突出贡献。华新水泥企业资信为“AAA”级，“华新堡垒”为中国驰名商标。北京上世纪50年代的十大建筑、北京亚运村、葛洲坝、京珠高速公路，长江中下游数十座公路和铁路大桥、举世瞩目的三峡工程等国家重点工程，均选用华新水泥。</w:t>
      </w:r>
    </w:p>
    <w:p w14:paraId="685ABEBE">
      <w:pPr>
        <w:spacing w:line="540" w:lineRule="exact"/>
        <w:ind w:firstLine="480" w:firstLineChars="200"/>
        <w:rPr>
          <w:rFonts w:hint="eastAsia" w:ascii="宋体" w:hAnsi="宋体"/>
          <w:sz w:val="24"/>
        </w:rPr>
      </w:pPr>
      <w:r>
        <w:rPr>
          <w:rFonts w:hint="eastAsia" w:ascii="宋体" w:hAnsi="宋体"/>
          <w:sz w:val="24"/>
        </w:rPr>
        <w:t>1994年，公司A、B股在上海证券交易所上市。1999年，与瑞士Holcim集团结为战略伙伴关系。2022年3月28日，华新成功实施B股转H股，正式登陆香港交易所主板。</w:t>
      </w:r>
    </w:p>
    <w:p w14:paraId="71727AF7">
      <w:pPr>
        <w:spacing w:line="540" w:lineRule="exact"/>
        <w:ind w:firstLine="480" w:firstLineChars="200"/>
        <w:rPr>
          <w:rFonts w:ascii="宋体" w:hAnsi="宋体"/>
          <w:sz w:val="24"/>
        </w:rPr>
      </w:pPr>
      <w:r>
        <w:rPr>
          <w:rFonts w:hint="eastAsia" w:ascii="宋体" w:hAnsi="宋体"/>
          <w:sz w:val="24"/>
        </w:rPr>
        <w:t>近20年来，华新水泥发生了翻天覆地的变化，在中国水泥产量年均复合增长率为7.5%的背景下，华新主要经济指标年均复合增长率连续20年保持25%，华新也从一家地方性水泥工厂，发展成为在全国十余个省市及海外拥有300余家分、子公司，涉足水泥、混凝土、骨料、环保、装备制造及工程、新型建筑材料等领域全产业链一体化发展的全球化建材集团，名列中国制造业500强和财富中国500强（净资产收益率位居第10位）。华新水泥连续多年入选“中国500最具价值品牌榜”，品牌价值突破800亿元人民币，排名进入前80名。</w:t>
      </w:r>
    </w:p>
    <w:p w14:paraId="5A295F23">
      <w:pPr>
        <w:pStyle w:val="8"/>
        <w:shd w:val="clear" w:color="auto" w:fill="FFFFFF"/>
        <w:spacing w:before="0" w:beforeAutospacing="0" w:after="0" w:afterAutospacing="0" w:line="360" w:lineRule="auto"/>
        <w:jc w:val="both"/>
        <w:rPr>
          <w:rFonts w:cs="Times New Roman"/>
          <w:kern w:val="2"/>
        </w:rPr>
      </w:pPr>
    </w:p>
    <w:p w14:paraId="145A7739">
      <w:pPr>
        <w:spacing w:line="540" w:lineRule="exact"/>
        <w:rPr>
          <w:rFonts w:ascii="宋体" w:hAnsi="宋体"/>
          <w:b/>
          <w:sz w:val="32"/>
        </w:rPr>
      </w:pPr>
      <w:r>
        <w:rPr>
          <w:rFonts w:hint="eastAsia" w:ascii="宋体" w:hAnsi="宋体"/>
          <w:b/>
          <w:sz w:val="32"/>
        </w:rPr>
        <w:t>二、招应选守则</w:t>
      </w:r>
    </w:p>
    <w:p w14:paraId="489D6CBA">
      <w:pPr>
        <w:pStyle w:val="18"/>
        <w:numPr>
          <w:ilvl w:val="0"/>
          <w:numId w:val="1"/>
        </w:numPr>
        <w:spacing w:line="540" w:lineRule="exact"/>
        <w:ind w:firstLineChars="0"/>
        <w:rPr>
          <w:rFonts w:ascii="宋体" w:hAnsi="宋体"/>
          <w:sz w:val="24"/>
        </w:rPr>
      </w:pPr>
      <w:r>
        <w:rPr>
          <w:rFonts w:hint="eastAsia" w:ascii="宋体" w:hAnsi="宋体"/>
          <w:sz w:val="24"/>
        </w:rPr>
        <w:t>遵循“正、负清单+综合得分高中标”原则。</w:t>
      </w:r>
    </w:p>
    <w:p w14:paraId="023D287D">
      <w:pPr>
        <w:pStyle w:val="18"/>
        <w:numPr>
          <w:ilvl w:val="0"/>
          <w:numId w:val="1"/>
        </w:numPr>
        <w:spacing w:line="540" w:lineRule="exact"/>
        <w:ind w:firstLineChars="0"/>
        <w:rPr>
          <w:rFonts w:ascii="宋体" w:hAnsi="宋体"/>
          <w:sz w:val="24"/>
        </w:rPr>
      </w:pPr>
      <w:r>
        <w:rPr>
          <w:rFonts w:hint="eastAsia" w:ascii="宋体" w:hAnsi="宋体"/>
          <w:sz w:val="24"/>
        </w:rPr>
        <w:t>遵循公开、公平、公正原则。</w:t>
      </w:r>
    </w:p>
    <w:p w14:paraId="27E20768">
      <w:pPr>
        <w:pStyle w:val="18"/>
        <w:numPr>
          <w:ilvl w:val="0"/>
          <w:numId w:val="1"/>
        </w:numPr>
        <w:spacing w:line="540" w:lineRule="exact"/>
        <w:ind w:firstLineChars="0"/>
        <w:rPr>
          <w:rFonts w:ascii="宋体" w:hAnsi="宋体"/>
          <w:sz w:val="24"/>
        </w:rPr>
      </w:pPr>
      <w:r>
        <w:rPr>
          <w:rFonts w:hint="eastAsia" w:ascii="宋体" w:hAnsi="宋体"/>
          <w:sz w:val="24"/>
        </w:rPr>
        <w:t>评审委员必须客观、公正评审，并对所提出的评审意见承担个人责任。</w:t>
      </w:r>
    </w:p>
    <w:p w14:paraId="5D4DC082">
      <w:pPr>
        <w:pStyle w:val="18"/>
        <w:numPr>
          <w:ilvl w:val="0"/>
          <w:numId w:val="1"/>
        </w:numPr>
        <w:spacing w:line="540" w:lineRule="exact"/>
        <w:ind w:firstLineChars="0"/>
        <w:rPr>
          <w:rFonts w:ascii="宋体" w:hAnsi="宋体"/>
          <w:sz w:val="24"/>
        </w:rPr>
      </w:pPr>
      <w:r>
        <w:rPr>
          <w:rFonts w:hint="eastAsia" w:ascii="宋体" w:hAnsi="宋体"/>
          <w:sz w:val="24"/>
        </w:rPr>
        <w:t>遵循回避原则。评审委员与应选人有利害关系的，应主动提出回避，不得参与此项目的招选活动。</w:t>
      </w:r>
    </w:p>
    <w:p w14:paraId="39142FA8">
      <w:pPr>
        <w:pStyle w:val="18"/>
        <w:numPr>
          <w:ilvl w:val="0"/>
          <w:numId w:val="1"/>
        </w:numPr>
        <w:spacing w:line="540" w:lineRule="exact"/>
        <w:ind w:firstLineChars="0"/>
        <w:rPr>
          <w:rFonts w:ascii="宋体" w:hAnsi="宋体"/>
          <w:sz w:val="24"/>
        </w:rPr>
      </w:pPr>
      <w:r>
        <w:rPr>
          <w:rFonts w:hint="eastAsia" w:ascii="宋体" w:hAnsi="宋体"/>
          <w:sz w:val="24"/>
        </w:rPr>
        <w:t>遵循民主集中制、少数服从多数原则。</w:t>
      </w:r>
    </w:p>
    <w:p w14:paraId="14D70C08">
      <w:pPr>
        <w:pStyle w:val="18"/>
        <w:numPr>
          <w:ilvl w:val="0"/>
          <w:numId w:val="1"/>
        </w:numPr>
        <w:spacing w:line="540" w:lineRule="exact"/>
        <w:ind w:firstLineChars="0"/>
        <w:rPr>
          <w:rFonts w:ascii="宋体" w:hAnsi="宋体"/>
          <w:sz w:val="24"/>
        </w:rPr>
      </w:pPr>
      <w:r>
        <w:rPr>
          <w:rFonts w:hint="eastAsia" w:ascii="宋体" w:hAnsi="宋体"/>
          <w:sz w:val="24"/>
        </w:rPr>
        <w:t>遵循保密原则。评审委员不得将招选机密透露给应选人或相关单位与个人。</w:t>
      </w:r>
    </w:p>
    <w:p w14:paraId="26E94FCA">
      <w:pPr>
        <w:pStyle w:val="18"/>
        <w:numPr>
          <w:ilvl w:val="0"/>
          <w:numId w:val="1"/>
        </w:numPr>
        <w:spacing w:line="540" w:lineRule="exact"/>
        <w:ind w:firstLineChars="0"/>
        <w:rPr>
          <w:rFonts w:ascii="宋体" w:hAnsi="宋体"/>
          <w:sz w:val="24"/>
        </w:rPr>
      </w:pPr>
      <w:r>
        <w:rPr>
          <w:rFonts w:hint="eastAsia" w:ascii="宋体" w:hAnsi="宋体"/>
          <w:sz w:val="24"/>
        </w:rPr>
        <w:t>应选人不得相互串通作弊，哄抬或压低应选报价，不得以他人名义应选或者以其他方式弄虚作假。</w:t>
      </w:r>
    </w:p>
    <w:p w14:paraId="6078D899">
      <w:pPr>
        <w:pStyle w:val="18"/>
        <w:numPr>
          <w:ilvl w:val="0"/>
          <w:numId w:val="1"/>
        </w:numPr>
        <w:spacing w:line="540" w:lineRule="exact"/>
        <w:ind w:firstLineChars="0"/>
        <w:rPr>
          <w:rFonts w:ascii="宋体" w:hAnsi="宋体"/>
          <w:sz w:val="24"/>
        </w:rPr>
      </w:pPr>
      <w:r>
        <w:rPr>
          <w:rFonts w:hint="eastAsia" w:ascii="宋体" w:hAnsi="宋体"/>
          <w:sz w:val="24"/>
        </w:rPr>
        <w:t>禁止应选人向公司参与招选的人员行贿。</w:t>
      </w:r>
    </w:p>
    <w:p w14:paraId="474F17C7">
      <w:pPr>
        <w:pStyle w:val="18"/>
        <w:numPr>
          <w:ilvl w:val="0"/>
          <w:numId w:val="1"/>
        </w:numPr>
        <w:spacing w:line="540" w:lineRule="exact"/>
        <w:ind w:firstLineChars="0"/>
        <w:rPr>
          <w:rFonts w:ascii="宋体" w:hAnsi="宋体"/>
          <w:sz w:val="24"/>
        </w:rPr>
      </w:pPr>
      <w:r>
        <w:rPr>
          <w:rFonts w:hint="eastAsia" w:ascii="宋体" w:hAnsi="宋体"/>
          <w:sz w:val="24"/>
        </w:rPr>
        <w:t>应选人必须接受招选人的全部招选条件，应选文件和材料必须真实可靠，不得随意更改或撤消。</w:t>
      </w:r>
    </w:p>
    <w:p w14:paraId="48963B81">
      <w:pPr>
        <w:pStyle w:val="18"/>
        <w:numPr>
          <w:ilvl w:val="0"/>
          <w:numId w:val="1"/>
        </w:numPr>
        <w:spacing w:line="540" w:lineRule="exact"/>
        <w:ind w:firstLineChars="0"/>
        <w:rPr>
          <w:rFonts w:ascii="宋体" w:hAnsi="宋体"/>
          <w:sz w:val="24"/>
        </w:rPr>
      </w:pPr>
      <w:r>
        <w:rPr>
          <w:rFonts w:hint="eastAsia" w:ascii="宋体" w:hAnsi="宋体"/>
          <w:sz w:val="24"/>
        </w:rPr>
        <w:t>所有参加开标人员不允许透露开标信息。</w:t>
      </w:r>
    </w:p>
    <w:p w14:paraId="44199ECF">
      <w:pPr>
        <w:pStyle w:val="18"/>
        <w:numPr>
          <w:ilvl w:val="0"/>
          <w:numId w:val="1"/>
        </w:numPr>
        <w:spacing w:line="540" w:lineRule="exact"/>
        <w:ind w:firstLineChars="0"/>
        <w:rPr>
          <w:rFonts w:ascii="宋体" w:hAnsi="宋体"/>
          <w:sz w:val="24"/>
        </w:rPr>
      </w:pPr>
      <w:r>
        <w:rPr>
          <w:rFonts w:hint="eastAsia" w:ascii="宋体" w:hAnsi="宋体"/>
          <w:sz w:val="24"/>
        </w:rPr>
        <w:t>不能将手机带离开标现场，如必须通话则在开标现场进行。</w:t>
      </w:r>
    </w:p>
    <w:p w14:paraId="3A340C57">
      <w:pPr>
        <w:pStyle w:val="18"/>
        <w:numPr>
          <w:ilvl w:val="0"/>
          <w:numId w:val="1"/>
        </w:numPr>
        <w:spacing w:line="540" w:lineRule="exact"/>
        <w:ind w:firstLineChars="0"/>
        <w:rPr>
          <w:rFonts w:ascii="宋体" w:hAnsi="宋体"/>
          <w:sz w:val="24"/>
        </w:rPr>
      </w:pPr>
      <w:r>
        <w:rPr>
          <w:rFonts w:hint="eastAsia" w:ascii="宋体" w:hAnsi="宋体"/>
          <w:sz w:val="24"/>
        </w:rPr>
        <w:t>公司纪检举报电话（027-87773971）及邮箱（jj@huaxincem.com）</w:t>
      </w:r>
    </w:p>
    <w:p w14:paraId="7ABB325A">
      <w:pPr>
        <w:spacing w:line="540" w:lineRule="exact"/>
        <w:ind w:firstLine="4176" w:firstLineChars="1300"/>
        <w:rPr>
          <w:rFonts w:ascii="宋体" w:hAnsi="宋体"/>
          <w:b/>
          <w:sz w:val="32"/>
        </w:rPr>
      </w:pPr>
      <w:r>
        <w:rPr>
          <w:rFonts w:hint="eastAsia" w:ascii="宋体" w:hAnsi="宋体"/>
          <w:b/>
          <w:sz w:val="32"/>
        </w:rPr>
        <w:t>三、应选人须知</w:t>
      </w:r>
    </w:p>
    <w:p w14:paraId="165315C2">
      <w:pPr>
        <w:spacing w:line="540" w:lineRule="exact"/>
        <w:rPr>
          <w:rFonts w:ascii="宋体" w:hAnsi="宋体"/>
          <w:b/>
          <w:sz w:val="24"/>
        </w:rPr>
      </w:pPr>
      <w:r>
        <w:rPr>
          <w:rFonts w:hint="eastAsia" w:ascii="宋体" w:hAnsi="宋体"/>
          <w:b/>
          <w:sz w:val="24"/>
        </w:rPr>
        <w:t>（一）招标内容概况</w:t>
      </w:r>
    </w:p>
    <w:p w14:paraId="2E6585EA">
      <w:pPr>
        <w:pStyle w:val="18"/>
        <w:numPr>
          <w:ilvl w:val="0"/>
          <w:numId w:val="2"/>
        </w:numPr>
        <w:spacing w:line="540" w:lineRule="exact"/>
        <w:ind w:firstLineChars="0"/>
        <w:rPr>
          <w:rFonts w:ascii="宋体" w:hAnsi="宋体"/>
          <w:sz w:val="24"/>
        </w:rPr>
      </w:pPr>
      <w:r>
        <w:rPr>
          <w:rFonts w:hint="eastAsia" w:ascii="宋体" w:hAnsi="宋体"/>
          <w:sz w:val="24"/>
        </w:rPr>
        <w:t>标的物：烟煤II</w:t>
      </w:r>
    </w:p>
    <w:p w14:paraId="1844E5A5">
      <w:pPr>
        <w:pStyle w:val="18"/>
        <w:numPr>
          <w:ilvl w:val="0"/>
          <w:numId w:val="2"/>
        </w:numPr>
        <w:spacing w:line="540" w:lineRule="exact"/>
        <w:ind w:firstLineChars="0"/>
        <w:rPr>
          <w:rFonts w:ascii="宋体" w:hAnsi="宋体"/>
          <w:sz w:val="24"/>
        </w:rPr>
      </w:pPr>
      <w:r>
        <w:rPr>
          <w:rFonts w:hint="eastAsia" w:ascii="宋体" w:hAnsi="宋体"/>
          <w:sz w:val="24"/>
        </w:rPr>
        <w:t>交货方式：</w:t>
      </w:r>
      <w:r>
        <w:rPr>
          <w:rFonts w:hint="eastAsia" w:ascii="宋体" w:hAnsi="宋体"/>
          <w:b/>
          <w:sz w:val="24"/>
        </w:rPr>
        <w:t>送货到厂（一票到厂）</w:t>
      </w:r>
    </w:p>
    <w:p w14:paraId="60F7DD5F">
      <w:pPr>
        <w:pStyle w:val="18"/>
        <w:numPr>
          <w:ilvl w:val="0"/>
          <w:numId w:val="2"/>
        </w:numPr>
        <w:spacing w:line="540" w:lineRule="exact"/>
        <w:ind w:firstLineChars="0"/>
        <w:rPr>
          <w:rFonts w:ascii="宋体" w:hAnsi="宋体"/>
          <w:sz w:val="24"/>
        </w:rPr>
      </w:pPr>
      <w:r>
        <w:rPr>
          <w:rFonts w:hint="eastAsia" w:ascii="宋体" w:hAnsi="宋体"/>
          <w:sz w:val="24"/>
        </w:rPr>
        <w:t>交货地点：</w:t>
      </w:r>
      <w:r>
        <w:rPr>
          <w:rFonts w:hint="eastAsia" w:ascii="宋体" w:hAnsi="宋体"/>
          <w:b/>
          <w:sz w:val="24"/>
        </w:rPr>
        <w:t>华新水泥(宜昌)有限公司煤库</w:t>
      </w:r>
    </w:p>
    <w:p w14:paraId="4E146497">
      <w:pPr>
        <w:pStyle w:val="18"/>
        <w:numPr>
          <w:ilvl w:val="0"/>
          <w:numId w:val="2"/>
        </w:numPr>
        <w:spacing w:line="540" w:lineRule="exact"/>
        <w:ind w:firstLineChars="0"/>
        <w:rPr>
          <w:rFonts w:ascii="宋体" w:hAnsi="宋体"/>
          <w:sz w:val="24"/>
        </w:rPr>
      </w:pPr>
      <w:r>
        <w:rPr>
          <w:rFonts w:hint="eastAsia" w:ascii="宋体" w:hAnsi="宋体"/>
          <w:sz w:val="24"/>
        </w:rPr>
        <w:t>数量及交货时间：（具体数量及交货时间以最终合同约定为准）</w:t>
      </w:r>
    </w:p>
    <w:tbl>
      <w:tblPr>
        <w:tblStyle w:val="10"/>
        <w:tblW w:w="791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2779"/>
        <w:gridCol w:w="2787"/>
      </w:tblGrid>
      <w:tr w14:paraId="7412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350" w:type="dxa"/>
            <w:shd w:val="clear" w:color="auto" w:fill="auto"/>
            <w:noWrap/>
            <w:vAlign w:val="bottom"/>
          </w:tcPr>
          <w:p w14:paraId="1858DEAE">
            <w:pPr>
              <w:widowControl/>
              <w:jc w:val="center"/>
              <w:rPr>
                <w:rFonts w:ascii="Arial" w:hAnsi="Arial" w:cs="Arial"/>
                <w:b/>
                <w:bCs/>
                <w:kern w:val="0"/>
                <w:sz w:val="20"/>
                <w:szCs w:val="20"/>
              </w:rPr>
            </w:pPr>
            <w:r>
              <w:rPr>
                <w:rFonts w:hint="eastAsia" w:ascii="宋体" w:hAnsi="宋体" w:cs="Arial"/>
                <w:b/>
                <w:bCs/>
                <w:kern w:val="0"/>
                <w:sz w:val="20"/>
                <w:szCs w:val="20"/>
              </w:rPr>
              <w:t>招选数量（吨）</w:t>
            </w:r>
          </w:p>
        </w:tc>
        <w:tc>
          <w:tcPr>
            <w:tcW w:w="2779" w:type="dxa"/>
            <w:shd w:val="clear" w:color="auto" w:fill="auto"/>
            <w:noWrap/>
            <w:vAlign w:val="bottom"/>
          </w:tcPr>
          <w:p w14:paraId="6F82EB86">
            <w:pPr>
              <w:widowControl/>
              <w:jc w:val="center"/>
              <w:rPr>
                <w:rFonts w:ascii="Arial" w:hAnsi="Arial" w:cs="Arial"/>
                <w:b/>
                <w:bCs/>
                <w:kern w:val="0"/>
                <w:sz w:val="20"/>
                <w:szCs w:val="20"/>
              </w:rPr>
            </w:pPr>
            <w:r>
              <w:rPr>
                <w:rFonts w:hint="eastAsia" w:ascii="宋体" w:hAnsi="宋体" w:cs="Arial"/>
                <w:b/>
                <w:bCs/>
                <w:kern w:val="0"/>
                <w:sz w:val="20"/>
                <w:szCs w:val="20"/>
              </w:rPr>
              <w:t>开始交货时间</w:t>
            </w:r>
          </w:p>
        </w:tc>
        <w:tc>
          <w:tcPr>
            <w:tcW w:w="2787" w:type="dxa"/>
            <w:shd w:val="clear" w:color="auto" w:fill="auto"/>
            <w:noWrap/>
            <w:vAlign w:val="bottom"/>
          </w:tcPr>
          <w:p w14:paraId="4E7F7D7F">
            <w:pPr>
              <w:widowControl/>
              <w:jc w:val="center"/>
              <w:rPr>
                <w:rFonts w:ascii="Arial" w:hAnsi="Arial" w:cs="Arial"/>
                <w:b/>
                <w:bCs/>
                <w:kern w:val="0"/>
                <w:sz w:val="20"/>
                <w:szCs w:val="20"/>
              </w:rPr>
            </w:pPr>
            <w:r>
              <w:rPr>
                <w:rFonts w:ascii="Arial" w:hAnsi="Arial" w:cs="Arial"/>
                <w:b/>
                <w:bCs/>
                <w:kern w:val="0"/>
                <w:sz w:val="20"/>
                <w:szCs w:val="20"/>
              </w:rPr>
              <w:t>结束交货时间</w:t>
            </w:r>
          </w:p>
        </w:tc>
      </w:tr>
      <w:tr w14:paraId="2761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2350" w:type="dxa"/>
            <w:shd w:val="clear" w:color="auto" w:fill="auto"/>
            <w:noWrap/>
            <w:vAlign w:val="bottom"/>
          </w:tcPr>
          <w:p w14:paraId="40431112">
            <w:pPr>
              <w:widowControl/>
              <w:jc w:val="center"/>
              <w:rPr>
                <w:rFonts w:ascii="Arial" w:hAnsi="Arial" w:cs="Arial"/>
                <w:kern w:val="0"/>
                <w:sz w:val="20"/>
                <w:szCs w:val="20"/>
              </w:rPr>
            </w:pPr>
            <w:r>
              <w:rPr>
                <w:rFonts w:hint="eastAsia" w:ascii="Arial" w:hAnsi="Arial" w:cs="Arial"/>
                <w:kern w:val="0"/>
                <w:sz w:val="20"/>
                <w:szCs w:val="20"/>
              </w:rPr>
              <w:t>6000</w:t>
            </w:r>
            <w:r>
              <w:rPr>
                <w:rFonts w:ascii="Arial" w:hAnsi="Arial" w:cs="Arial"/>
                <w:kern w:val="0"/>
                <w:sz w:val="20"/>
                <w:szCs w:val="20"/>
              </w:rPr>
              <w:t>±10%</w:t>
            </w:r>
          </w:p>
        </w:tc>
        <w:tc>
          <w:tcPr>
            <w:tcW w:w="2779" w:type="dxa"/>
            <w:shd w:val="clear" w:color="auto" w:fill="auto"/>
            <w:noWrap/>
            <w:vAlign w:val="bottom"/>
          </w:tcPr>
          <w:p w14:paraId="4D5E80B1">
            <w:pPr>
              <w:widowControl/>
              <w:jc w:val="center"/>
              <w:rPr>
                <w:rFonts w:ascii="Arial" w:hAnsi="Arial" w:cs="Arial"/>
                <w:kern w:val="0"/>
                <w:sz w:val="20"/>
                <w:szCs w:val="20"/>
              </w:rPr>
            </w:pPr>
            <w:r>
              <w:rPr>
                <w:rFonts w:hint="eastAsia" w:ascii="Arial" w:hAnsi="Arial" w:cs="Arial"/>
                <w:kern w:val="0"/>
                <w:sz w:val="20"/>
                <w:szCs w:val="20"/>
              </w:rPr>
              <w:t>2026</w:t>
            </w:r>
            <w:r>
              <w:rPr>
                <w:rFonts w:ascii="Arial" w:hAnsi="Arial" w:cs="Arial"/>
                <w:kern w:val="0"/>
                <w:sz w:val="20"/>
                <w:szCs w:val="20"/>
              </w:rPr>
              <w:t>年</w:t>
            </w:r>
            <w:r>
              <w:rPr>
                <w:rFonts w:hint="eastAsia" w:ascii="Arial" w:hAnsi="Arial" w:cs="Arial"/>
                <w:kern w:val="0"/>
                <w:sz w:val="20"/>
                <w:szCs w:val="20"/>
                <w:lang w:val="en-US" w:eastAsia="zh-CN"/>
              </w:rPr>
              <w:t>7</w:t>
            </w:r>
            <w:r>
              <w:rPr>
                <w:rFonts w:ascii="Arial" w:hAnsi="Arial" w:cs="Arial"/>
                <w:kern w:val="0"/>
                <w:sz w:val="20"/>
                <w:szCs w:val="20"/>
              </w:rPr>
              <w:t>月</w:t>
            </w:r>
            <w:r>
              <w:rPr>
                <w:rFonts w:hint="eastAsia" w:ascii="Arial" w:hAnsi="Arial" w:cs="Arial"/>
                <w:kern w:val="0"/>
                <w:sz w:val="20"/>
                <w:szCs w:val="20"/>
                <w:lang w:val="en-US" w:eastAsia="zh-CN"/>
              </w:rPr>
              <w:t>26</w:t>
            </w:r>
            <w:r>
              <w:rPr>
                <w:rFonts w:ascii="Arial" w:hAnsi="Arial" w:cs="Arial"/>
                <w:kern w:val="0"/>
                <w:sz w:val="20"/>
                <w:szCs w:val="20"/>
              </w:rPr>
              <w:t>日</w:t>
            </w:r>
          </w:p>
        </w:tc>
        <w:tc>
          <w:tcPr>
            <w:tcW w:w="2787" w:type="dxa"/>
            <w:shd w:val="clear" w:color="auto" w:fill="auto"/>
            <w:noWrap/>
            <w:vAlign w:val="bottom"/>
          </w:tcPr>
          <w:p w14:paraId="3CE72501">
            <w:pPr>
              <w:widowControl/>
              <w:jc w:val="center"/>
              <w:rPr>
                <w:rFonts w:ascii="Arial" w:hAnsi="Arial" w:cs="Arial"/>
                <w:kern w:val="0"/>
                <w:sz w:val="20"/>
                <w:szCs w:val="20"/>
              </w:rPr>
            </w:pPr>
            <w:r>
              <w:rPr>
                <w:rFonts w:hint="eastAsia" w:ascii="Arial" w:hAnsi="Arial" w:cs="Arial"/>
                <w:kern w:val="0"/>
                <w:sz w:val="20"/>
                <w:szCs w:val="20"/>
              </w:rPr>
              <w:t>2026</w:t>
            </w:r>
            <w:r>
              <w:rPr>
                <w:rFonts w:ascii="Arial" w:hAnsi="Arial" w:cs="Arial"/>
                <w:kern w:val="0"/>
                <w:sz w:val="20"/>
                <w:szCs w:val="20"/>
              </w:rPr>
              <w:t>年</w:t>
            </w:r>
            <w:r>
              <w:rPr>
                <w:rFonts w:hint="eastAsia" w:ascii="Arial" w:hAnsi="Arial" w:cs="Arial"/>
                <w:kern w:val="0"/>
                <w:sz w:val="20"/>
                <w:szCs w:val="20"/>
                <w:lang w:val="en-US" w:eastAsia="zh-CN"/>
              </w:rPr>
              <w:t>7</w:t>
            </w:r>
            <w:r>
              <w:rPr>
                <w:rFonts w:ascii="Arial" w:hAnsi="Arial" w:cs="Arial"/>
                <w:kern w:val="0"/>
                <w:sz w:val="20"/>
                <w:szCs w:val="20"/>
              </w:rPr>
              <w:t>月</w:t>
            </w:r>
            <w:r>
              <w:rPr>
                <w:rFonts w:hint="eastAsia" w:ascii="Arial" w:hAnsi="Arial" w:cs="Arial"/>
                <w:kern w:val="0"/>
                <w:sz w:val="20"/>
                <w:szCs w:val="20"/>
                <w:lang w:val="en-US" w:eastAsia="zh-CN"/>
              </w:rPr>
              <w:t>30</w:t>
            </w:r>
            <w:r>
              <w:rPr>
                <w:rFonts w:ascii="Arial" w:hAnsi="Arial" w:cs="Arial"/>
                <w:kern w:val="0"/>
                <w:sz w:val="20"/>
                <w:szCs w:val="20"/>
              </w:rPr>
              <w:t>日</w:t>
            </w:r>
          </w:p>
        </w:tc>
      </w:tr>
    </w:tbl>
    <w:p w14:paraId="5C25BBCB">
      <w:pPr>
        <w:spacing w:line="540" w:lineRule="exact"/>
        <w:rPr>
          <w:rFonts w:ascii="宋体" w:hAnsi="宋体"/>
          <w:sz w:val="24"/>
        </w:rPr>
      </w:pPr>
      <w:r>
        <w:rPr>
          <w:rFonts w:hint="eastAsia" w:ascii="宋体" w:hAnsi="宋体"/>
          <w:sz w:val="24"/>
        </w:rPr>
        <w:t>注：具体送货时间以买方通知为准。如果卖方不能按期交货，买方有权采取其他的方式保供，保供造成的损失由卖方承担，且买方有权扣除卖方全额投标保证金。</w:t>
      </w:r>
    </w:p>
    <w:p w14:paraId="647B8AD5">
      <w:pPr>
        <w:pStyle w:val="18"/>
        <w:numPr>
          <w:ilvl w:val="0"/>
          <w:numId w:val="2"/>
        </w:numPr>
        <w:spacing w:line="540" w:lineRule="exact"/>
        <w:ind w:firstLineChars="0"/>
        <w:rPr>
          <w:rFonts w:ascii="宋体" w:hAnsi="宋体"/>
          <w:sz w:val="24"/>
        </w:rPr>
      </w:pPr>
      <w:r>
        <w:rPr>
          <w:rFonts w:ascii="宋体" w:hAnsi="宋体"/>
          <w:sz w:val="24"/>
        </w:rPr>
        <w:t>到站信息：枝城站（到站后汽车短倒进厂）</w:t>
      </w:r>
    </w:p>
    <w:p w14:paraId="48456C97">
      <w:pPr>
        <w:pStyle w:val="18"/>
        <w:numPr>
          <w:ilvl w:val="0"/>
          <w:numId w:val="2"/>
        </w:numPr>
        <w:spacing w:line="540" w:lineRule="exact"/>
        <w:ind w:firstLineChars="0"/>
        <w:rPr>
          <w:rFonts w:ascii="宋体" w:hAnsi="宋体"/>
          <w:sz w:val="24"/>
        </w:rPr>
      </w:pPr>
      <w:r>
        <w:rPr>
          <w:rFonts w:hint="eastAsia" w:ascii="宋体" w:hAnsi="宋体"/>
          <w:sz w:val="24"/>
        </w:rPr>
        <w:t>需满足卸车条件：翻斗式自卸车</w:t>
      </w:r>
    </w:p>
    <w:p w14:paraId="7FCE56FE">
      <w:pPr>
        <w:spacing w:line="540" w:lineRule="exact"/>
        <w:rPr>
          <w:rFonts w:ascii="宋体" w:hAnsi="宋体"/>
          <w:b/>
          <w:sz w:val="24"/>
        </w:rPr>
      </w:pPr>
      <w:r>
        <w:rPr>
          <w:rFonts w:hint="eastAsia" w:ascii="宋体" w:hAnsi="宋体"/>
          <w:b/>
          <w:sz w:val="24"/>
        </w:rPr>
        <w:t>（二）应选条件和评审要求</w:t>
      </w:r>
    </w:p>
    <w:p w14:paraId="25EAB9B6">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应选单位必须是在中国境内注册取得营业执照，具有独立法人地位的公司（企业），持有该标的经营范围的《企业法人营业执照》等有效资质。</w:t>
      </w:r>
    </w:p>
    <w:p w14:paraId="657D1CFB">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应选单位应是可开具增值税专用发票（13%）的一般纳税人。</w:t>
      </w:r>
    </w:p>
    <w:p w14:paraId="50C38589">
      <w:pPr>
        <w:pStyle w:val="18"/>
        <w:numPr>
          <w:ilvl w:val="0"/>
          <w:numId w:val="3"/>
        </w:numPr>
        <w:spacing w:line="540" w:lineRule="exact"/>
        <w:ind w:firstLineChars="0"/>
        <w:rPr>
          <w:rFonts w:ascii="宋体" w:hAnsi="宋体" w:cs="宋体"/>
          <w:kern w:val="0"/>
          <w:sz w:val="24"/>
        </w:rPr>
      </w:pPr>
      <w:r>
        <w:rPr>
          <w:rFonts w:hint="eastAsia" w:ascii="宋体" w:hAnsi="宋体" w:cs="宋体"/>
          <w:color w:val="FF0000"/>
          <w:kern w:val="0"/>
          <w:sz w:val="24"/>
        </w:rPr>
        <w:t>若应选方代表为非法定代表人，需由法定代表人出具委托授权书予以授权，并有法定代表人亲笔签字，加盖法人公章，否则招选方不予受理</w:t>
      </w:r>
      <w:r>
        <w:rPr>
          <w:rFonts w:hint="eastAsia" w:ascii="宋体" w:hAnsi="宋体" w:cs="宋体"/>
          <w:kern w:val="0"/>
          <w:sz w:val="24"/>
        </w:rPr>
        <w:t>。</w:t>
      </w:r>
    </w:p>
    <w:p w14:paraId="78985B34">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应选单位有供应经验，具有较强实力，能提供保障供应的经营单位，在经营过程中信誉良好、无违法经营和无不正当竞争行为。</w:t>
      </w:r>
    </w:p>
    <w:p w14:paraId="2814523D">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1家作为应选中标单位 (同质比价，同价比质、同价同质比供货能力)。</w:t>
      </w:r>
    </w:p>
    <w:p w14:paraId="2D196CE7">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应标供应商在提交应标资料同时支付投标保证金，投标保证金</w:t>
      </w:r>
      <w:r>
        <w:rPr>
          <w:rFonts w:hint="eastAsia" w:ascii="宋体" w:hAnsi="宋体" w:cs="宋体"/>
          <w:color w:val="FF0000"/>
          <w:kern w:val="0"/>
          <w:sz w:val="24"/>
          <w:lang w:val="en-US" w:eastAsia="zh-CN"/>
        </w:rPr>
        <w:t>2</w:t>
      </w:r>
      <w:r>
        <w:rPr>
          <w:rFonts w:hint="eastAsia" w:ascii="宋体" w:hAnsi="宋体" w:cs="宋体"/>
          <w:color w:val="FF0000"/>
          <w:kern w:val="0"/>
          <w:sz w:val="24"/>
        </w:rPr>
        <w:t>0万</w:t>
      </w:r>
      <w:r>
        <w:rPr>
          <w:rFonts w:hint="eastAsia" w:ascii="宋体" w:hAnsi="宋体" w:cs="宋体"/>
          <w:kern w:val="0"/>
          <w:sz w:val="24"/>
        </w:rPr>
        <w:t>，投标保证金银行回单应做为应标资料在系统中同步提交。</w:t>
      </w:r>
    </w:p>
    <w:p w14:paraId="69B9C350">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中标公告发布后，中标单位的投标保证金将自动转成履约保证金.如中标供应商不能按照投标承诺及时、保质保量进行供货，保证金不予退还。</w:t>
      </w:r>
    </w:p>
    <w:p w14:paraId="51A324C9">
      <w:pPr>
        <w:pStyle w:val="18"/>
        <w:numPr>
          <w:ilvl w:val="0"/>
          <w:numId w:val="3"/>
        </w:numPr>
        <w:spacing w:line="540" w:lineRule="exact"/>
        <w:ind w:firstLineChars="0"/>
        <w:rPr>
          <w:rFonts w:ascii="宋体" w:hAnsi="宋体" w:cs="宋体"/>
          <w:kern w:val="0"/>
          <w:sz w:val="24"/>
        </w:rPr>
      </w:pPr>
      <w:r>
        <w:rPr>
          <w:rFonts w:ascii="宋体" w:hAnsi="宋体" w:eastAsia="宋体" w:cs="宋体"/>
          <w:sz w:val="24"/>
          <w:szCs w:val="24"/>
        </w:rPr>
        <w:t>华新建材集团股份公司或者海南百慧通供应链科技有限公司的质保金或者华新旗下其他公司质保金均可入围，如中标，同意该保证金或质保金作为中标工厂合同履约保证金方可签订合同。</w:t>
      </w:r>
    </w:p>
    <w:p w14:paraId="6C4BD95F">
      <w:pPr>
        <w:pStyle w:val="18"/>
        <w:numPr>
          <w:ilvl w:val="0"/>
          <w:numId w:val="3"/>
        </w:numPr>
        <w:spacing w:line="480" w:lineRule="exact"/>
        <w:ind w:firstLineChars="0"/>
        <w:rPr>
          <w:rFonts w:hint="eastAsia" w:ascii="宋体" w:hAnsi="宋体" w:cs="宋体"/>
          <w:kern w:val="0"/>
          <w:sz w:val="24"/>
        </w:rPr>
      </w:pPr>
      <w:r>
        <w:rPr>
          <w:rFonts w:hint="eastAsia" w:ascii="宋体" w:hAnsi="宋体" w:cs="宋体"/>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w:t>
      </w:r>
      <w:bookmarkStart w:id="0" w:name="_GoBack"/>
      <w:bookmarkEnd w:id="0"/>
      <w:r>
        <w:rPr>
          <w:rFonts w:hint="eastAsia" w:ascii="宋体" w:hAnsi="宋体" w:cs="宋体"/>
          <w:kern w:val="0"/>
          <w:sz w:val="24"/>
        </w:rPr>
        <w:t>损失。</w:t>
      </w:r>
    </w:p>
    <w:p w14:paraId="1E0B7327">
      <w:pPr>
        <w:pStyle w:val="18"/>
        <w:numPr>
          <w:ilvl w:val="0"/>
          <w:numId w:val="0"/>
        </w:numPr>
        <w:spacing w:line="480" w:lineRule="exact"/>
        <w:ind w:left="479" w:leftChars="228" w:firstLine="0" w:firstLineChars="0"/>
        <w:rPr>
          <w:rFonts w:hint="eastAsia" w:ascii="宋体" w:hAnsi="宋体" w:cs="宋体"/>
          <w:kern w:val="0"/>
          <w:sz w:val="24"/>
        </w:rPr>
      </w:pPr>
      <w:r>
        <w:rPr>
          <w:rFonts w:hint="eastAsia" w:ascii="宋体" w:hAnsi="宋体" w:cs="宋体"/>
          <w:kern w:val="0"/>
          <w:sz w:val="24"/>
        </w:rPr>
        <w:t>例如:湖北众联物流发展(鄂州)有限公司于2026年7月15日在襄阳工厂交货时因煤质较差，干预第三方采样过程，并现金贿赂采样人员，被查实，列入黑名单;</w:t>
      </w:r>
    </w:p>
    <w:p w14:paraId="50579764">
      <w:pPr>
        <w:pStyle w:val="18"/>
        <w:numPr>
          <w:ilvl w:val="0"/>
          <w:numId w:val="0"/>
        </w:numPr>
        <w:spacing w:line="480" w:lineRule="exact"/>
        <w:ind w:left="479" w:leftChars="228" w:firstLine="0" w:firstLineChars="0"/>
        <w:rPr>
          <w:rFonts w:ascii="宋体" w:hAnsi="宋体" w:cs="宋体"/>
          <w:kern w:val="0"/>
          <w:sz w:val="24"/>
        </w:rPr>
      </w:pPr>
      <w:r>
        <w:rPr>
          <w:rFonts w:hint="eastAsia" w:ascii="宋体" w:hAnsi="宋体" w:cs="宋体"/>
          <w:kern w:val="0"/>
          <w:sz w:val="24"/>
        </w:rPr>
        <w:t>湖南中穗项目管理有限公司于2026年4月13日在桑植工厂进</w:t>
      </w:r>
      <w:r>
        <w:rPr>
          <w:rFonts w:hint="eastAsia" w:ascii="宋体" w:hAnsi="宋体" w:cs="宋体"/>
          <w:kern w:val="0"/>
          <w:sz w:val="24"/>
          <w:lang w:val="en-US" w:eastAsia="zh-CN"/>
        </w:rPr>
        <w:t>厂</w:t>
      </w:r>
      <w:r>
        <w:rPr>
          <w:rFonts w:hint="eastAsia" w:ascii="宋体" w:hAnsi="宋体" w:cs="宋体"/>
          <w:kern w:val="0"/>
          <w:sz w:val="24"/>
        </w:rPr>
        <w:t>煤炭中掺杂掺假，经核实后，扣除保证金，列入黑名单。</w:t>
      </w:r>
    </w:p>
    <w:p w14:paraId="4664E67A">
      <w:pPr>
        <w:pStyle w:val="18"/>
        <w:numPr>
          <w:ilvl w:val="0"/>
          <w:numId w:val="0"/>
        </w:numPr>
        <w:spacing w:line="540" w:lineRule="exact"/>
        <w:ind w:leftChars="0"/>
        <w:rPr>
          <w:rFonts w:ascii="宋体" w:hAnsi="宋体" w:cs="宋体"/>
          <w:kern w:val="0"/>
          <w:sz w:val="24"/>
        </w:rPr>
      </w:pPr>
    </w:p>
    <w:p w14:paraId="0C09D77E">
      <w:pPr>
        <w:spacing w:line="540" w:lineRule="exact"/>
        <w:ind w:firstLine="2891" w:firstLineChars="900"/>
        <w:rPr>
          <w:rFonts w:ascii="宋体" w:hAnsi="宋体"/>
          <w:b/>
          <w:sz w:val="32"/>
        </w:rPr>
      </w:pPr>
      <w:r>
        <w:rPr>
          <w:rFonts w:hint="eastAsia" w:ascii="宋体" w:hAnsi="宋体"/>
          <w:b/>
          <w:sz w:val="32"/>
        </w:rPr>
        <w:t>四、正/负面清单及评标规则</w:t>
      </w:r>
    </w:p>
    <w:tbl>
      <w:tblPr>
        <w:tblStyle w:val="10"/>
        <w:tblpPr w:leftFromText="180" w:rightFromText="180" w:vertAnchor="text" w:horzAnchor="margin" w:tblpXSpec="center" w:tblpY="218"/>
        <w:tblW w:w="9061" w:type="dxa"/>
        <w:tblInd w:w="0" w:type="dxa"/>
        <w:tblLayout w:type="autofit"/>
        <w:tblCellMar>
          <w:top w:w="0" w:type="dxa"/>
          <w:left w:w="108" w:type="dxa"/>
          <w:bottom w:w="0" w:type="dxa"/>
          <w:right w:w="108" w:type="dxa"/>
        </w:tblCellMar>
      </w:tblPr>
      <w:tblGrid>
        <w:gridCol w:w="1242"/>
        <w:gridCol w:w="7819"/>
      </w:tblGrid>
      <w:tr w14:paraId="6A0E0C45">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auto" w:sz="8" w:space="0"/>
            </w:tcBorders>
            <w:noWrap/>
            <w:vAlign w:val="center"/>
          </w:tcPr>
          <w:p w14:paraId="7B7D0AC5">
            <w:pPr>
              <w:pStyle w:val="3"/>
              <w:spacing w:line="276" w:lineRule="auto"/>
              <w:ind w:left="0" w:leftChars="0" w:right="2" w:rightChars="1" w:firstLine="0" w:firstLineChars="0"/>
              <w:jc w:val="center"/>
              <w:rPr>
                <w:rFonts w:ascii="宋体" w:hAnsi="宋体" w:eastAsia="宋体"/>
                <w:b/>
                <w:sz w:val="24"/>
              </w:rPr>
            </w:pPr>
            <w:r>
              <w:rPr>
                <w:rFonts w:hint="eastAsia" w:ascii="宋体" w:hAnsi="宋体" w:eastAsia="宋体"/>
                <w:b/>
                <w:sz w:val="24"/>
              </w:rPr>
              <w:t>正面清单</w:t>
            </w:r>
          </w:p>
        </w:tc>
      </w:tr>
      <w:tr w14:paraId="4D921BFA">
        <w:tblPrEx>
          <w:tblCellMar>
            <w:top w:w="0" w:type="dxa"/>
            <w:left w:w="108" w:type="dxa"/>
            <w:bottom w:w="0" w:type="dxa"/>
            <w:right w:w="108" w:type="dxa"/>
          </w:tblCellMar>
        </w:tblPrEx>
        <w:trPr>
          <w:trHeight w:val="406" w:hRule="atLeast"/>
        </w:trPr>
        <w:tc>
          <w:tcPr>
            <w:tcW w:w="1242" w:type="dxa"/>
            <w:tcBorders>
              <w:top w:val="nil"/>
              <w:left w:val="single" w:color="auto" w:sz="8" w:space="0"/>
              <w:bottom w:val="nil"/>
              <w:right w:val="single" w:color="auto" w:sz="8" w:space="0"/>
            </w:tcBorders>
            <w:noWrap/>
            <w:vAlign w:val="center"/>
          </w:tcPr>
          <w:p w14:paraId="6F22FDDA">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资质</w:t>
            </w:r>
          </w:p>
        </w:tc>
        <w:tc>
          <w:tcPr>
            <w:tcW w:w="7819" w:type="dxa"/>
            <w:tcBorders>
              <w:top w:val="nil"/>
              <w:left w:val="nil"/>
              <w:bottom w:val="nil"/>
              <w:right w:val="single" w:color="auto" w:sz="8" w:space="0"/>
            </w:tcBorders>
            <w:vAlign w:val="center"/>
          </w:tcPr>
          <w:p w14:paraId="1D8EACCC">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1、应选单位必须是在中国境内注册取得营业执照，具有独立法人地位的公司（企业），持有该标的经营范围的《企业法人营业执照》等有效资质。</w:t>
            </w:r>
          </w:p>
          <w:p w14:paraId="7DCE80D5">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2、应选单位可开具增值税专用发票（13%）的一般纳税人</w:t>
            </w:r>
          </w:p>
        </w:tc>
      </w:tr>
      <w:tr w14:paraId="0DE50A4E">
        <w:tblPrEx>
          <w:tblCellMar>
            <w:top w:w="0" w:type="dxa"/>
            <w:left w:w="108" w:type="dxa"/>
            <w:bottom w:w="0" w:type="dxa"/>
            <w:right w:w="108" w:type="dxa"/>
          </w:tblCellMar>
        </w:tblPrEx>
        <w:trPr>
          <w:trHeight w:val="463" w:hRule="atLeast"/>
        </w:trPr>
        <w:tc>
          <w:tcPr>
            <w:tcW w:w="1242" w:type="dxa"/>
            <w:vMerge w:val="restart"/>
            <w:tcBorders>
              <w:top w:val="single" w:color="auto" w:sz="4" w:space="0"/>
              <w:left w:val="single" w:color="auto" w:sz="4" w:space="0"/>
              <w:bottom w:val="single" w:color="auto" w:sz="4" w:space="0"/>
              <w:right w:val="single" w:color="auto" w:sz="4" w:space="0"/>
            </w:tcBorders>
            <w:noWrap/>
            <w:vAlign w:val="center"/>
          </w:tcPr>
          <w:p w14:paraId="1EB28CCF">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要求</w:t>
            </w:r>
          </w:p>
        </w:tc>
        <w:tc>
          <w:tcPr>
            <w:tcW w:w="7819" w:type="dxa"/>
            <w:tcBorders>
              <w:top w:val="single" w:color="auto" w:sz="4" w:space="0"/>
              <w:left w:val="nil"/>
              <w:bottom w:val="single" w:color="auto" w:sz="4" w:space="0"/>
              <w:right w:val="single" w:color="auto" w:sz="4" w:space="0"/>
            </w:tcBorders>
            <w:noWrap/>
            <w:vAlign w:val="center"/>
          </w:tcPr>
          <w:p w14:paraId="37797EB9">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1、招选物资：烟煤II</w:t>
            </w:r>
          </w:p>
        </w:tc>
      </w:tr>
      <w:tr w14:paraId="65A5E102">
        <w:tblPrEx>
          <w:tblCellMar>
            <w:top w:w="0" w:type="dxa"/>
            <w:left w:w="108" w:type="dxa"/>
            <w:bottom w:w="0" w:type="dxa"/>
            <w:right w:w="108" w:type="dxa"/>
          </w:tblCellMar>
        </w:tblPrEx>
        <w:trPr>
          <w:trHeight w:val="46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327B25A">
            <w:pPr>
              <w:widowControl/>
              <w:spacing w:line="276" w:lineRule="auto"/>
              <w:jc w:val="left"/>
              <w:rPr>
                <w:rFonts w:ascii="宋体" w:hAnsi="宋体"/>
                <w:sz w:val="24"/>
              </w:rPr>
            </w:pPr>
          </w:p>
        </w:tc>
        <w:tc>
          <w:tcPr>
            <w:tcW w:w="7819" w:type="dxa"/>
            <w:tcBorders>
              <w:top w:val="nil"/>
              <w:left w:val="nil"/>
              <w:bottom w:val="single" w:color="auto" w:sz="4" w:space="0"/>
              <w:right w:val="single" w:color="auto" w:sz="4" w:space="0"/>
            </w:tcBorders>
            <w:noWrap/>
            <w:vAlign w:val="center"/>
          </w:tcPr>
          <w:p w14:paraId="58CF44A2">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2、交货时间：在订单规定的时间内保质保量交货</w:t>
            </w:r>
          </w:p>
        </w:tc>
      </w:tr>
      <w:tr w14:paraId="4EA63909">
        <w:tblPrEx>
          <w:tblCellMar>
            <w:top w:w="0" w:type="dxa"/>
            <w:left w:w="108" w:type="dxa"/>
            <w:bottom w:w="0" w:type="dxa"/>
            <w:right w:w="108" w:type="dxa"/>
          </w:tblCellMar>
        </w:tblPrEx>
        <w:trPr>
          <w:trHeight w:val="463" w:hRule="atLeast"/>
        </w:trPr>
        <w:tc>
          <w:tcPr>
            <w:tcW w:w="1242" w:type="dxa"/>
            <w:tcBorders>
              <w:top w:val="nil"/>
              <w:left w:val="single" w:color="auto" w:sz="8" w:space="0"/>
              <w:bottom w:val="single" w:color="auto" w:sz="8" w:space="0"/>
              <w:right w:val="nil"/>
            </w:tcBorders>
            <w:noWrap/>
            <w:vAlign w:val="center"/>
          </w:tcPr>
          <w:p w14:paraId="3476101E">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注册资金</w:t>
            </w:r>
          </w:p>
        </w:tc>
        <w:tc>
          <w:tcPr>
            <w:tcW w:w="7819" w:type="dxa"/>
            <w:tcBorders>
              <w:top w:val="nil"/>
              <w:left w:val="single" w:color="auto" w:sz="4" w:space="0"/>
              <w:bottom w:val="single" w:color="auto" w:sz="4" w:space="0"/>
              <w:right w:val="single" w:color="auto" w:sz="4" w:space="0"/>
            </w:tcBorders>
            <w:noWrap/>
            <w:vAlign w:val="center"/>
          </w:tcPr>
          <w:p w14:paraId="09470186">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最低注册额度为500万元人民币</w:t>
            </w:r>
          </w:p>
        </w:tc>
      </w:tr>
      <w:tr w14:paraId="3CE228C3">
        <w:tblPrEx>
          <w:tblCellMar>
            <w:top w:w="0" w:type="dxa"/>
            <w:left w:w="108" w:type="dxa"/>
            <w:bottom w:w="0" w:type="dxa"/>
            <w:right w:w="108" w:type="dxa"/>
          </w:tblCellMar>
        </w:tblPrEx>
        <w:trPr>
          <w:trHeight w:val="328"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18E321B1">
            <w:pPr>
              <w:pStyle w:val="3"/>
              <w:spacing w:line="276" w:lineRule="auto"/>
              <w:ind w:left="0" w:leftChars="0" w:right="2" w:rightChars="1" w:firstLine="482"/>
              <w:jc w:val="center"/>
              <w:rPr>
                <w:rFonts w:ascii="宋体" w:hAnsi="宋体" w:eastAsia="宋体"/>
                <w:b/>
                <w:sz w:val="24"/>
              </w:rPr>
            </w:pPr>
            <w:r>
              <w:rPr>
                <w:rFonts w:hint="eastAsia" w:ascii="宋体" w:hAnsi="宋体" w:eastAsia="宋体"/>
                <w:b/>
                <w:sz w:val="24"/>
              </w:rPr>
              <w:t>负面清单</w:t>
            </w:r>
          </w:p>
        </w:tc>
      </w:tr>
      <w:tr w14:paraId="2FBA7619">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4BB37781">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1、在交货中有混杂掺假行为的直接纳入负面清单。</w:t>
            </w:r>
          </w:p>
        </w:tc>
      </w:tr>
      <w:tr w14:paraId="5BCC1C0F">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4" w:space="0"/>
              <w:right w:val="single" w:color="000000" w:sz="8" w:space="0"/>
            </w:tcBorders>
            <w:noWrap/>
            <w:vAlign w:val="center"/>
          </w:tcPr>
          <w:p w14:paraId="233BF4DE">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2、供货历史上有严重违规、不良记录的直接纳入负面清单。</w:t>
            </w:r>
          </w:p>
        </w:tc>
      </w:tr>
    </w:tbl>
    <w:p w14:paraId="756773DC">
      <w:pPr>
        <w:spacing w:line="540" w:lineRule="exact"/>
        <w:jc w:val="center"/>
        <w:rPr>
          <w:rFonts w:ascii="宋体" w:hAnsi="宋体"/>
          <w:b/>
          <w:sz w:val="32"/>
        </w:rPr>
      </w:pPr>
      <w:r>
        <w:rPr>
          <w:rFonts w:hint="eastAsia" w:ascii="宋体" w:hAnsi="宋体"/>
          <w:b/>
          <w:sz w:val="32"/>
        </w:rPr>
        <w:t>评标规则</w:t>
      </w:r>
    </w:p>
    <w:tbl>
      <w:tblPr>
        <w:tblStyle w:val="10"/>
        <w:tblW w:w="9130" w:type="dxa"/>
        <w:tblInd w:w="354" w:type="dxa"/>
        <w:tblLayout w:type="autofit"/>
        <w:tblCellMar>
          <w:top w:w="0" w:type="dxa"/>
          <w:left w:w="108" w:type="dxa"/>
          <w:bottom w:w="0" w:type="dxa"/>
          <w:right w:w="108" w:type="dxa"/>
        </w:tblCellMar>
      </w:tblPr>
      <w:tblGrid>
        <w:gridCol w:w="1493"/>
        <w:gridCol w:w="4782"/>
        <w:gridCol w:w="2855"/>
      </w:tblGrid>
      <w:tr w14:paraId="3A9930A4">
        <w:tblPrEx>
          <w:tblCellMar>
            <w:top w:w="0" w:type="dxa"/>
            <w:left w:w="108" w:type="dxa"/>
            <w:bottom w:w="0" w:type="dxa"/>
            <w:right w:w="108" w:type="dxa"/>
          </w:tblCellMar>
        </w:tblPrEx>
        <w:trPr>
          <w:trHeight w:val="544" w:hRule="atLeast"/>
        </w:trPr>
        <w:tc>
          <w:tcPr>
            <w:tcW w:w="14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F2E1CE">
            <w:pPr>
              <w:widowControl/>
              <w:jc w:val="center"/>
              <w:rPr>
                <w:rFonts w:ascii="宋体" w:hAnsi="宋体" w:cs="宋体"/>
                <w:kern w:val="0"/>
                <w:sz w:val="24"/>
              </w:rPr>
            </w:pPr>
            <w:r>
              <w:rPr>
                <w:rFonts w:hint="eastAsia" w:ascii="宋体" w:hAnsi="宋体" w:cs="宋体"/>
                <w:kern w:val="0"/>
                <w:sz w:val="24"/>
              </w:rPr>
              <w:t>评价项目</w:t>
            </w:r>
          </w:p>
        </w:tc>
        <w:tc>
          <w:tcPr>
            <w:tcW w:w="4782" w:type="dxa"/>
            <w:tcBorders>
              <w:top w:val="single" w:color="auto" w:sz="4" w:space="0"/>
              <w:left w:val="nil"/>
              <w:bottom w:val="single" w:color="auto" w:sz="4" w:space="0"/>
              <w:right w:val="single" w:color="auto" w:sz="4" w:space="0"/>
            </w:tcBorders>
            <w:shd w:val="clear" w:color="auto" w:fill="auto"/>
            <w:noWrap/>
            <w:vAlign w:val="center"/>
          </w:tcPr>
          <w:p w14:paraId="0201862D">
            <w:pPr>
              <w:widowControl/>
              <w:jc w:val="center"/>
              <w:rPr>
                <w:rFonts w:ascii="宋体" w:hAnsi="宋体" w:cs="宋体"/>
                <w:kern w:val="0"/>
                <w:sz w:val="24"/>
              </w:rPr>
            </w:pPr>
            <w:r>
              <w:rPr>
                <w:rFonts w:hint="eastAsia" w:ascii="宋体" w:hAnsi="宋体" w:cs="宋体"/>
                <w:kern w:val="0"/>
                <w:sz w:val="24"/>
              </w:rPr>
              <w:t>评分标准</w:t>
            </w:r>
          </w:p>
        </w:tc>
        <w:tc>
          <w:tcPr>
            <w:tcW w:w="2855" w:type="dxa"/>
            <w:tcBorders>
              <w:top w:val="single" w:color="auto" w:sz="4" w:space="0"/>
              <w:left w:val="nil"/>
              <w:bottom w:val="single" w:color="auto" w:sz="4" w:space="0"/>
              <w:right w:val="single" w:color="auto" w:sz="4" w:space="0"/>
            </w:tcBorders>
            <w:shd w:val="clear" w:color="auto" w:fill="auto"/>
            <w:noWrap/>
            <w:vAlign w:val="center"/>
          </w:tcPr>
          <w:p w14:paraId="3B7B38B1">
            <w:pPr>
              <w:widowControl/>
              <w:jc w:val="center"/>
              <w:rPr>
                <w:rFonts w:ascii="宋体" w:hAnsi="宋体" w:cs="宋体"/>
                <w:kern w:val="0"/>
                <w:sz w:val="24"/>
              </w:rPr>
            </w:pPr>
            <w:r>
              <w:rPr>
                <w:rFonts w:hint="eastAsia" w:ascii="宋体" w:hAnsi="宋体" w:cs="宋体"/>
                <w:kern w:val="0"/>
                <w:sz w:val="24"/>
              </w:rPr>
              <w:t>备注</w:t>
            </w:r>
          </w:p>
        </w:tc>
      </w:tr>
      <w:tr w14:paraId="0AD77083">
        <w:tblPrEx>
          <w:tblCellMar>
            <w:top w:w="0" w:type="dxa"/>
            <w:left w:w="108" w:type="dxa"/>
            <w:bottom w:w="0" w:type="dxa"/>
            <w:right w:w="108" w:type="dxa"/>
          </w:tblCellMar>
        </w:tblPrEx>
        <w:trPr>
          <w:trHeight w:val="711" w:hRule="atLeast"/>
        </w:trPr>
        <w:tc>
          <w:tcPr>
            <w:tcW w:w="1493" w:type="dxa"/>
            <w:tcBorders>
              <w:top w:val="nil"/>
              <w:left w:val="single" w:color="auto" w:sz="4" w:space="0"/>
              <w:bottom w:val="single" w:color="auto" w:sz="4" w:space="0"/>
              <w:right w:val="single" w:color="auto" w:sz="4" w:space="0"/>
            </w:tcBorders>
            <w:shd w:val="clear" w:color="auto" w:fill="auto"/>
            <w:noWrap/>
            <w:vAlign w:val="center"/>
          </w:tcPr>
          <w:p w14:paraId="73A05221">
            <w:pPr>
              <w:widowControl/>
              <w:jc w:val="center"/>
              <w:rPr>
                <w:rFonts w:ascii="宋体" w:hAnsi="宋体" w:cs="宋体"/>
                <w:kern w:val="0"/>
                <w:sz w:val="24"/>
              </w:rPr>
            </w:pPr>
            <w:r>
              <w:rPr>
                <w:rFonts w:hint="eastAsia" w:ascii="宋体" w:hAnsi="宋体" w:cs="宋体"/>
                <w:kern w:val="0"/>
                <w:sz w:val="24"/>
              </w:rPr>
              <w:t>注意事项</w:t>
            </w:r>
          </w:p>
        </w:tc>
        <w:tc>
          <w:tcPr>
            <w:tcW w:w="4782" w:type="dxa"/>
            <w:tcBorders>
              <w:top w:val="nil"/>
              <w:left w:val="nil"/>
              <w:bottom w:val="single" w:color="auto" w:sz="4" w:space="0"/>
              <w:right w:val="single" w:color="auto" w:sz="4" w:space="0"/>
            </w:tcBorders>
            <w:shd w:val="clear" w:color="auto" w:fill="auto"/>
            <w:vAlign w:val="center"/>
          </w:tcPr>
          <w:p w14:paraId="3D805A9A">
            <w:pPr>
              <w:widowControl/>
              <w:jc w:val="left"/>
              <w:rPr>
                <w:rFonts w:ascii="宋体" w:hAnsi="宋体" w:cs="宋体"/>
                <w:kern w:val="0"/>
                <w:sz w:val="24"/>
              </w:rPr>
            </w:pPr>
            <w:r>
              <w:rPr>
                <w:rFonts w:hint="eastAsia" w:ascii="宋体" w:hAnsi="宋体" w:cs="宋体"/>
                <w:kern w:val="0"/>
                <w:sz w:val="24"/>
              </w:rPr>
              <w:t>1、资质审核不合格直接淘汰。</w:t>
            </w:r>
            <w:r>
              <w:rPr>
                <w:rFonts w:hint="eastAsia" w:ascii="宋体" w:hAnsi="宋体" w:cs="宋体"/>
                <w:kern w:val="0"/>
                <w:sz w:val="24"/>
              </w:rPr>
              <w:br w:type="textWrapping"/>
            </w:r>
            <w:r>
              <w:rPr>
                <w:rFonts w:hint="eastAsia" w:ascii="宋体" w:hAnsi="宋体" w:cs="宋体"/>
                <w:kern w:val="0"/>
                <w:sz w:val="24"/>
              </w:rPr>
              <w:t>2、有不良供货记录的直接淘汰。</w:t>
            </w:r>
          </w:p>
        </w:tc>
        <w:tc>
          <w:tcPr>
            <w:tcW w:w="2855" w:type="dxa"/>
            <w:tcBorders>
              <w:top w:val="nil"/>
              <w:left w:val="nil"/>
              <w:bottom w:val="single" w:color="auto" w:sz="4" w:space="0"/>
              <w:right w:val="single" w:color="auto" w:sz="4" w:space="0"/>
            </w:tcBorders>
            <w:shd w:val="clear" w:color="auto" w:fill="auto"/>
            <w:noWrap/>
            <w:vAlign w:val="center"/>
          </w:tcPr>
          <w:p w14:paraId="30F346E7">
            <w:pPr>
              <w:widowControl/>
              <w:jc w:val="center"/>
              <w:rPr>
                <w:rFonts w:ascii="宋体" w:hAnsi="宋体" w:cs="宋体"/>
                <w:kern w:val="0"/>
                <w:sz w:val="24"/>
              </w:rPr>
            </w:pPr>
            <w:r>
              <w:rPr>
                <w:rFonts w:hint="eastAsia" w:ascii="宋体" w:hAnsi="宋体" w:cs="宋体"/>
                <w:kern w:val="0"/>
                <w:sz w:val="24"/>
              </w:rPr>
              <w:t>否决项</w:t>
            </w:r>
          </w:p>
        </w:tc>
      </w:tr>
      <w:tr w14:paraId="4A2EE3D6">
        <w:tblPrEx>
          <w:tblCellMar>
            <w:top w:w="0" w:type="dxa"/>
            <w:left w:w="108" w:type="dxa"/>
            <w:bottom w:w="0" w:type="dxa"/>
            <w:right w:w="108" w:type="dxa"/>
          </w:tblCellMar>
        </w:tblPrEx>
        <w:trPr>
          <w:trHeight w:val="914" w:hRule="atLeast"/>
        </w:trPr>
        <w:tc>
          <w:tcPr>
            <w:tcW w:w="1493" w:type="dxa"/>
            <w:tcBorders>
              <w:top w:val="nil"/>
              <w:left w:val="single" w:color="auto" w:sz="4" w:space="0"/>
              <w:bottom w:val="single" w:color="auto" w:sz="4" w:space="0"/>
              <w:right w:val="single" w:color="auto" w:sz="4" w:space="0"/>
            </w:tcBorders>
            <w:shd w:val="clear" w:color="auto" w:fill="auto"/>
            <w:noWrap/>
            <w:vAlign w:val="center"/>
          </w:tcPr>
          <w:p w14:paraId="5112A323">
            <w:pPr>
              <w:widowControl/>
              <w:jc w:val="center"/>
              <w:rPr>
                <w:rFonts w:ascii="宋体" w:hAnsi="宋体" w:cs="宋体"/>
                <w:kern w:val="0"/>
                <w:sz w:val="24"/>
              </w:rPr>
            </w:pPr>
            <w:r>
              <w:rPr>
                <w:rFonts w:hint="eastAsia" w:ascii="宋体" w:hAnsi="宋体" w:cs="宋体"/>
                <w:kern w:val="0"/>
                <w:sz w:val="24"/>
              </w:rPr>
              <w:t>价格</w:t>
            </w:r>
          </w:p>
        </w:tc>
        <w:tc>
          <w:tcPr>
            <w:tcW w:w="4782" w:type="dxa"/>
            <w:tcBorders>
              <w:top w:val="nil"/>
              <w:left w:val="nil"/>
              <w:bottom w:val="single" w:color="auto" w:sz="4" w:space="0"/>
              <w:right w:val="single" w:color="auto" w:sz="4" w:space="0"/>
            </w:tcBorders>
            <w:shd w:val="clear" w:color="auto" w:fill="auto"/>
            <w:vAlign w:val="center"/>
          </w:tcPr>
          <w:p w14:paraId="263823B1">
            <w:pPr>
              <w:pStyle w:val="18"/>
              <w:widowControl/>
              <w:numPr>
                <w:ilvl w:val="0"/>
                <w:numId w:val="4"/>
              </w:numPr>
              <w:ind w:firstLineChars="0"/>
              <w:jc w:val="left"/>
              <w:rPr>
                <w:rFonts w:hint="eastAsia" w:ascii="宋体" w:hAnsi="宋体" w:cs="宋体"/>
                <w:kern w:val="0"/>
                <w:sz w:val="24"/>
              </w:rPr>
            </w:pPr>
            <w:r>
              <w:rPr>
                <w:rFonts w:hint="eastAsia" w:ascii="宋体" w:hAnsi="宋体" w:cs="宋体"/>
                <w:kern w:val="0"/>
                <w:sz w:val="24"/>
              </w:rPr>
              <w:t>承兑付款；</w:t>
            </w:r>
          </w:p>
          <w:p w14:paraId="062A7D65">
            <w:pPr>
              <w:pStyle w:val="18"/>
              <w:widowControl/>
              <w:numPr>
                <w:ilvl w:val="0"/>
                <w:numId w:val="4"/>
              </w:numPr>
              <w:ind w:firstLineChars="0"/>
              <w:jc w:val="left"/>
              <w:rPr>
                <w:rFonts w:ascii="宋体" w:hAnsi="宋体" w:cs="宋体"/>
                <w:kern w:val="0"/>
                <w:sz w:val="24"/>
              </w:rPr>
            </w:pPr>
            <w:r>
              <w:rPr>
                <w:rFonts w:hint="eastAsia" w:ascii="宋体" w:hAnsi="宋体" w:cs="宋体"/>
                <w:kern w:val="0"/>
                <w:sz w:val="24"/>
              </w:rPr>
              <w:t>遵循最低价中标原则</w:t>
            </w:r>
            <w:r>
              <w:rPr>
                <w:rFonts w:hint="eastAsia" w:ascii="宋体" w:hAnsi="宋体" w:cs="宋体"/>
                <w:kern w:val="0"/>
                <w:sz w:val="24"/>
                <w:lang w:eastAsia="zh-CN"/>
              </w:rPr>
              <w:t>。</w:t>
            </w:r>
          </w:p>
        </w:tc>
        <w:tc>
          <w:tcPr>
            <w:tcW w:w="2855" w:type="dxa"/>
            <w:tcBorders>
              <w:top w:val="nil"/>
              <w:left w:val="nil"/>
              <w:bottom w:val="single" w:color="auto" w:sz="4" w:space="0"/>
              <w:right w:val="single" w:color="auto" w:sz="4" w:space="0"/>
            </w:tcBorders>
            <w:shd w:val="clear" w:color="auto" w:fill="auto"/>
            <w:noWrap/>
            <w:vAlign w:val="center"/>
          </w:tcPr>
          <w:p w14:paraId="483EF50F">
            <w:pPr>
              <w:widowControl/>
              <w:jc w:val="center"/>
              <w:rPr>
                <w:rFonts w:ascii="宋体" w:hAnsi="宋体" w:cs="宋体"/>
                <w:kern w:val="0"/>
                <w:sz w:val="24"/>
              </w:rPr>
            </w:pPr>
          </w:p>
        </w:tc>
      </w:tr>
    </w:tbl>
    <w:p w14:paraId="254F54A2">
      <w:pPr>
        <w:spacing w:line="540" w:lineRule="exact"/>
        <w:rPr>
          <w:rFonts w:ascii="宋体" w:hAnsi="宋体"/>
          <w:b/>
          <w:sz w:val="32"/>
        </w:rPr>
      </w:pPr>
    </w:p>
    <w:p w14:paraId="18A87E52">
      <w:pPr>
        <w:spacing w:line="540" w:lineRule="exact"/>
        <w:ind w:firstLine="3534" w:firstLineChars="1100"/>
        <w:rPr>
          <w:rFonts w:ascii="宋体" w:hAnsi="宋体"/>
          <w:b/>
          <w:sz w:val="32"/>
        </w:rPr>
      </w:pPr>
      <w:r>
        <w:rPr>
          <w:rFonts w:hint="eastAsia" w:ascii="宋体" w:hAnsi="宋体"/>
          <w:b/>
          <w:sz w:val="32"/>
        </w:rPr>
        <w:t>五、其他事项</w:t>
      </w:r>
    </w:p>
    <w:p w14:paraId="4B68C06D">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本次招选，在华新网供应商平台上进行，请参加应选的单位首先在华新招标平台</w:t>
      </w:r>
      <w:r>
        <w:rPr>
          <w:rFonts w:ascii="宋体" w:hAnsi="宋体" w:cs="宋体"/>
          <w:b/>
          <w:kern w:val="0"/>
          <w:sz w:val="24"/>
        </w:rPr>
        <w:t>https://biz.huaxincem.com/#/</w:t>
      </w:r>
      <w:r>
        <w:rPr>
          <w:rFonts w:hint="eastAsia" w:ascii="宋体" w:hAnsi="宋体" w:cs="宋体"/>
          <w:kern w:val="0"/>
          <w:sz w:val="24"/>
        </w:rPr>
        <w:t>完成供应商注册、登录、供应商申请。注册时公司简介中需注明供货能力、注册资金、供货业绩等相关信息及上传相应资质原件扫描文本。</w:t>
      </w:r>
    </w:p>
    <w:p w14:paraId="778FFDCC">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本招选仅进行1轮报价，请慎重报价。最终经评审委员评审完毕后在华新网上公布招选结果。</w:t>
      </w:r>
    </w:p>
    <w:p w14:paraId="7524A42F">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报价为含税（13%）一票到厂价，最终以交货吨单价作为价格评分标准。</w:t>
      </w:r>
    </w:p>
    <w:p w14:paraId="2E19172B">
      <w:pPr>
        <w:pStyle w:val="18"/>
        <w:spacing w:line="480" w:lineRule="exact"/>
        <w:ind w:left="420" w:firstLine="0" w:firstLineChars="0"/>
        <w:rPr>
          <w:rFonts w:ascii="宋体" w:hAnsi="宋体" w:cs="宋体"/>
          <w:color w:val="FF0000"/>
          <w:kern w:val="0"/>
          <w:sz w:val="24"/>
        </w:rPr>
      </w:pPr>
      <w:r>
        <w:rPr>
          <w:rFonts w:hint="eastAsia" w:ascii="宋体" w:hAnsi="宋体" w:cs="宋体"/>
          <w:kern w:val="0"/>
          <w:sz w:val="24"/>
        </w:rPr>
        <w:t>注：系统在线报价，并上传加盖公章的报价附件。</w:t>
      </w:r>
    </w:p>
    <w:p w14:paraId="759121B3">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首轮应选网上投标报价截至时间：</w:t>
      </w:r>
      <w:r>
        <w:rPr>
          <w:rFonts w:hint="eastAsia" w:ascii="宋体" w:hAnsi="宋体" w:cs="宋体"/>
          <w:kern w:val="0"/>
          <w:sz w:val="24"/>
          <w:highlight w:val="yellow"/>
        </w:rPr>
        <w:t>2026年</w:t>
      </w:r>
      <w:r>
        <w:rPr>
          <w:rFonts w:hint="eastAsia" w:ascii="宋体" w:hAnsi="宋体" w:cs="宋体"/>
          <w:kern w:val="0"/>
          <w:sz w:val="24"/>
          <w:highlight w:val="yellow"/>
          <w:lang w:val="en-US" w:eastAsia="zh-CN"/>
        </w:rPr>
        <w:t>7</w:t>
      </w:r>
      <w:r>
        <w:rPr>
          <w:rFonts w:hint="eastAsia" w:ascii="宋体" w:hAnsi="宋体" w:cs="宋体"/>
          <w:kern w:val="0"/>
          <w:sz w:val="24"/>
          <w:highlight w:val="yellow"/>
        </w:rPr>
        <w:t>月</w:t>
      </w:r>
      <w:r>
        <w:rPr>
          <w:rFonts w:hint="eastAsia" w:ascii="宋体" w:hAnsi="宋体" w:cs="宋体"/>
          <w:kern w:val="0"/>
          <w:sz w:val="24"/>
          <w:highlight w:val="yellow"/>
          <w:lang w:val="en-US" w:eastAsia="zh-CN"/>
        </w:rPr>
        <w:t>20</w:t>
      </w:r>
      <w:r>
        <w:rPr>
          <w:rFonts w:hint="eastAsia" w:ascii="宋体" w:hAnsi="宋体" w:cs="宋体"/>
          <w:kern w:val="0"/>
          <w:sz w:val="24"/>
          <w:highlight w:val="yellow"/>
        </w:rPr>
        <w:t>日1</w:t>
      </w:r>
      <w:r>
        <w:rPr>
          <w:rFonts w:hint="eastAsia" w:ascii="宋体" w:hAnsi="宋体" w:cs="宋体"/>
          <w:kern w:val="0"/>
          <w:sz w:val="24"/>
          <w:highlight w:val="yellow"/>
          <w:lang w:val="en-US" w:eastAsia="zh-CN"/>
        </w:rPr>
        <w:t>4</w:t>
      </w:r>
      <w:r>
        <w:rPr>
          <w:rFonts w:hint="eastAsia" w:ascii="宋体" w:hAnsi="宋体" w:cs="宋体"/>
          <w:kern w:val="0"/>
          <w:sz w:val="24"/>
          <w:highlight w:val="yellow"/>
        </w:rPr>
        <w:t>:00</w:t>
      </w:r>
      <w:r>
        <w:rPr>
          <w:rFonts w:hint="eastAsia" w:ascii="宋体" w:hAnsi="宋体" w:cs="宋体"/>
          <w:kern w:val="0"/>
          <w:sz w:val="24"/>
        </w:rPr>
        <w:t>时</w:t>
      </w:r>
    </w:p>
    <w:p w14:paraId="49AD4DA3">
      <w:pPr>
        <w:pStyle w:val="18"/>
        <w:spacing w:line="480" w:lineRule="exact"/>
        <w:ind w:left="420" w:firstLine="0" w:firstLineChars="0"/>
        <w:rPr>
          <w:rFonts w:ascii="宋体" w:hAnsi="宋体" w:cs="宋体"/>
          <w:kern w:val="0"/>
          <w:sz w:val="24"/>
        </w:rPr>
      </w:pPr>
      <w:r>
        <w:rPr>
          <w:rFonts w:hint="eastAsia" w:ascii="宋体" w:hAnsi="宋体" w:cs="宋体"/>
          <w:kern w:val="0"/>
          <w:sz w:val="24"/>
        </w:rPr>
        <w:t>应选截止时间届时会关闭网上招选系统，并对所有应选人的应选书进行现场网上开启。逾期提交的或者未提交的应选文件，招选人不予受理。</w:t>
      </w:r>
    </w:p>
    <w:p w14:paraId="3E0B7A8D">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此次评审将根据评分规则选出1家应标人作为中标供应商。</w:t>
      </w:r>
    </w:p>
    <w:p w14:paraId="1F40BE62">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我公司将及时通知中选人，中选人接到中选通知书后需在 1个工作日内与我公司签订合同， 因卖方逾期未签订合同，买方有权扣除全额投标保证金。</w:t>
      </w:r>
    </w:p>
    <w:p w14:paraId="264C87D2">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14:paraId="13506658">
      <w:pPr>
        <w:pStyle w:val="18"/>
        <w:numPr>
          <w:ilvl w:val="0"/>
          <w:numId w:val="3"/>
        </w:numPr>
        <w:spacing w:line="480" w:lineRule="exact"/>
        <w:ind w:firstLineChars="0"/>
        <w:rPr>
          <w:rFonts w:ascii="宋体" w:hAnsi="宋体" w:cs="宋体"/>
          <w:kern w:val="0"/>
          <w:sz w:val="24"/>
        </w:rPr>
      </w:pPr>
      <w:r>
        <w:rPr>
          <w:rFonts w:hint="eastAsia" w:ascii="宋体" w:hAnsi="宋体" w:cs="宋体"/>
          <w:kern w:val="0"/>
          <w:sz w:val="24"/>
        </w:rPr>
        <w:t>如中选供应商中标后在约定时间内无法完成订单计划，将被视为恶意投标，根据华新采购招选管理办法规定，将被列入负面清单（终身禁止在华新任何单位投标），招选方有权终止合同且不退还履约保证金。</w:t>
      </w:r>
    </w:p>
    <w:p w14:paraId="7E92C9D4">
      <w:pPr>
        <w:pStyle w:val="18"/>
        <w:spacing w:line="480" w:lineRule="exact"/>
        <w:ind w:left="420" w:firstLine="3213" w:firstLineChars="1000"/>
        <w:rPr>
          <w:rFonts w:hint="eastAsia" w:ascii="宋体" w:hAnsi="宋体"/>
          <w:b/>
          <w:sz w:val="32"/>
        </w:rPr>
      </w:pPr>
    </w:p>
    <w:p w14:paraId="3D9AEB73">
      <w:pPr>
        <w:pStyle w:val="18"/>
        <w:spacing w:line="480" w:lineRule="exact"/>
        <w:ind w:left="420" w:firstLine="3213" w:firstLineChars="1000"/>
        <w:rPr>
          <w:rFonts w:ascii="宋体" w:hAnsi="宋体" w:cs="宋体"/>
          <w:kern w:val="0"/>
          <w:sz w:val="24"/>
        </w:rPr>
      </w:pPr>
      <w:r>
        <w:rPr>
          <w:rFonts w:hint="eastAsia" w:ascii="宋体" w:hAnsi="宋体"/>
          <w:b/>
          <w:sz w:val="32"/>
        </w:rPr>
        <w:t>六、合同主要条款</w:t>
      </w:r>
    </w:p>
    <w:p w14:paraId="3189A38C">
      <w:pPr>
        <w:pStyle w:val="18"/>
        <w:numPr>
          <w:ilvl w:val="0"/>
          <w:numId w:val="5"/>
        </w:numPr>
        <w:spacing w:line="480" w:lineRule="exact"/>
        <w:ind w:firstLineChars="0"/>
        <w:rPr>
          <w:rFonts w:ascii="宋体" w:hAnsi="宋体"/>
          <w:sz w:val="24"/>
        </w:rPr>
      </w:pPr>
      <w:r>
        <w:rPr>
          <w:rFonts w:hint="eastAsia" w:ascii="宋体" w:hAnsi="宋体"/>
          <w:sz w:val="24"/>
        </w:rPr>
        <w:t>烟煤质量指标要求：</w:t>
      </w:r>
    </w:p>
    <w:tbl>
      <w:tblPr>
        <w:tblStyle w:val="10"/>
        <w:tblW w:w="964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2325"/>
        <w:gridCol w:w="1107"/>
        <w:gridCol w:w="1190"/>
        <w:gridCol w:w="1972"/>
        <w:gridCol w:w="1897"/>
      </w:tblGrid>
      <w:tr w14:paraId="54BA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55" w:type="dxa"/>
            <w:shd w:val="clear" w:color="auto" w:fill="auto"/>
            <w:vAlign w:val="center"/>
          </w:tcPr>
          <w:p w14:paraId="0EF079C2">
            <w:pPr>
              <w:spacing w:line="260" w:lineRule="exact"/>
              <w:jc w:val="center"/>
              <w:rPr>
                <w:rFonts w:ascii="宋体" w:hAnsi="宋体"/>
                <w:sz w:val="24"/>
              </w:rPr>
            </w:pPr>
            <w:r>
              <w:rPr>
                <w:rFonts w:hint="eastAsia" w:ascii="宋体" w:hAnsi="宋体"/>
                <w:sz w:val="24"/>
              </w:rPr>
              <w:t>品种</w:t>
            </w:r>
          </w:p>
        </w:tc>
        <w:tc>
          <w:tcPr>
            <w:tcW w:w="2325" w:type="dxa"/>
            <w:shd w:val="clear" w:color="auto" w:fill="auto"/>
            <w:vAlign w:val="center"/>
          </w:tcPr>
          <w:p w14:paraId="6D5460D5">
            <w:pPr>
              <w:spacing w:line="260" w:lineRule="exact"/>
              <w:jc w:val="center"/>
              <w:rPr>
                <w:rFonts w:ascii="宋体" w:hAnsi="宋体"/>
                <w:sz w:val="24"/>
              </w:rPr>
            </w:pPr>
            <w:r>
              <w:rPr>
                <w:rFonts w:hint="eastAsia" w:ascii="宋体" w:hAnsi="宋体"/>
                <w:sz w:val="24"/>
              </w:rPr>
              <w:t>收到基低位发热量 Qnet, ar</w:t>
            </w:r>
          </w:p>
        </w:tc>
        <w:tc>
          <w:tcPr>
            <w:tcW w:w="1107" w:type="dxa"/>
            <w:shd w:val="clear" w:color="auto" w:fill="auto"/>
            <w:vAlign w:val="center"/>
          </w:tcPr>
          <w:p w14:paraId="6868BE4F">
            <w:pPr>
              <w:spacing w:line="260" w:lineRule="exact"/>
              <w:jc w:val="center"/>
              <w:rPr>
                <w:rFonts w:ascii="宋体" w:hAnsi="宋体"/>
                <w:sz w:val="24"/>
              </w:rPr>
            </w:pPr>
            <w:r>
              <w:rPr>
                <w:rFonts w:hint="eastAsia" w:ascii="宋体" w:hAnsi="宋体"/>
                <w:sz w:val="24"/>
              </w:rPr>
              <w:t>全水份</w:t>
            </w:r>
          </w:p>
          <w:p w14:paraId="39842DA0">
            <w:pPr>
              <w:spacing w:line="260" w:lineRule="exact"/>
              <w:jc w:val="center"/>
              <w:rPr>
                <w:rFonts w:ascii="宋体" w:hAnsi="宋体"/>
                <w:sz w:val="24"/>
              </w:rPr>
            </w:pPr>
            <w:r>
              <w:rPr>
                <w:rFonts w:hint="eastAsia" w:ascii="宋体" w:hAnsi="宋体"/>
                <w:sz w:val="24"/>
              </w:rPr>
              <w:t>Mt</w:t>
            </w:r>
          </w:p>
        </w:tc>
        <w:tc>
          <w:tcPr>
            <w:tcW w:w="1190" w:type="dxa"/>
            <w:shd w:val="clear" w:color="auto" w:fill="auto"/>
            <w:vAlign w:val="center"/>
          </w:tcPr>
          <w:p w14:paraId="5D8854DC">
            <w:pPr>
              <w:spacing w:line="280" w:lineRule="exact"/>
              <w:jc w:val="center"/>
              <w:rPr>
                <w:rFonts w:ascii="宋体" w:hAnsi="宋体"/>
                <w:sz w:val="24"/>
              </w:rPr>
            </w:pPr>
            <w:r>
              <w:rPr>
                <w:rFonts w:hint="eastAsia" w:ascii="宋体" w:hAnsi="宋体"/>
                <w:sz w:val="24"/>
              </w:rPr>
              <w:t>空干基水Mad</w:t>
            </w:r>
          </w:p>
        </w:tc>
        <w:tc>
          <w:tcPr>
            <w:tcW w:w="1972" w:type="dxa"/>
            <w:shd w:val="clear" w:color="auto" w:fill="auto"/>
            <w:vAlign w:val="center"/>
          </w:tcPr>
          <w:p w14:paraId="58EF13FF">
            <w:pPr>
              <w:spacing w:line="280" w:lineRule="exact"/>
              <w:jc w:val="center"/>
              <w:rPr>
                <w:rFonts w:ascii="宋体" w:hAnsi="宋体"/>
                <w:sz w:val="24"/>
              </w:rPr>
            </w:pPr>
            <w:r>
              <w:rPr>
                <w:rFonts w:hint="eastAsia" w:ascii="宋体" w:hAnsi="宋体"/>
                <w:sz w:val="24"/>
              </w:rPr>
              <w:t xml:space="preserve">空干基全硫 </w:t>
            </w:r>
          </w:p>
          <w:p w14:paraId="2B19BB32">
            <w:pPr>
              <w:spacing w:line="280" w:lineRule="exact"/>
              <w:jc w:val="center"/>
              <w:rPr>
                <w:rFonts w:ascii="宋体" w:hAnsi="宋体"/>
                <w:sz w:val="24"/>
              </w:rPr>
            </w:pPr>
            <w:r>
              <w:rPr>
                <w:rFonts w:hint="eastAsia" w:ascii="宋体" w:hAnsi="宋体"/>
                <w:sz w:val="24"/>
              </w:rPr>
              <w:t>St,ad</w:t>
            </w:r>
          </w:p>
        </w:tc>
        <w:tc>
          <w:tcPr>
            <w:tcW w:w="1897" w:type="dxa"/>
          </w:tcPr>
          <w:p w14:paraId="790CA9A9">
            <w:pPr>
              <w:spacing w:line="260" w:lineRule="exact"/>
              <w:jc w:val="center"/>
              <w:rPr>
                <w:rFonts w:ascii="宋体" w:hAnsi="宋体"/>
                <w:sz w:val="24"/>
              </w:rPr>
            </w:pPr>
            <w:r>
              <w:rPr>
                <w:rFonts w:hint="eastAsia" w:ascii="宋体" w:hAnsi="宋体"/>
                <w:sz w:val="24"/>
              </w:rPr>
              <w:t>空干基挥发份Vad</w:t>
            </w:r>
          </w:p>
        </w:tc>
      </w:tr>
      <w:tr w14:paraId="6883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685522E0">
            <w:pPr>
              <w:spacing w:line="280" w:lineRule="exact"/>
              <w:jc w:val="center"/>
              <w:rPr>
                <w:rFonts w:ascii="宋体" w:hAnsi="宋体"/>
                <w:sz w:val="24"/>
              </w:rPr>
            </w:pPr>
            <w:r>
              <w:rPr>
                <w:rFonts w:hint="eastAsia" w:ascii="宋体" w:hAnsi="宋体"/>
                <w:sz w:val="24"/>
              </w:rPr>
              <w:t>烟煤</w:t>
            </w:r>
          </w:p>
        </w:tc>
        <w:tc>
          <w:tcPr>
            <w:tcW w:w="2325" w:type="dxa"/>
            <w:shd w:val="clear" w:color="auto" w:fill="auto"/>
            <w:vAlign w:val="center"/>
          </w:tcPr>
          <w:p w14:paraId="31E1409E">
            <w:pPr>
              <w:spacing w:line="260" w:lineRule="exact"/>
              <w:jc w:val="center"/>
              <w:rPr>
                <w:rFonts w:ascii="宋体" w:hAnsi="宋体"/>
                <w:sz w:val="24"/>
              </w:rPr>
            </w:pPr>
            <w:r>
              <w:rPr>
                <w:rFonts w:hint="eastAsia" w:ascii="宋体" w:hAnsi="宋体"/>
                <w:sz w:val="24"/>
              </w:rPr>
              <w:t>≥5800大卡/公斤</w:t>
            </w:r>
          </w:p>
        </w:tc>
        <w:tc>
          <w:tcPr>
            <w:tcW w:w="1107" w:type="dxa"/>
            <w:shd w:val="clear" w:color="auto" w:fill="auto"/>
            <w:vAlign w:val="center"/>
          </w:tcPr>
          <w:p w14:paraId="3FECC9E7">
            <w:pPr>
              <w:spacing w:line="260" w:lineRule="exact"/>
              <w:jc w:val="center"/>
              <w:rPr>
                <w:rFonts w:ascii="宋体" w:hAnsi="宋体"/>
                <w:sz w:val="24"/>
              </w:rPr>
            </w:pPr>
            <w:r>
              <w:rPr>
                <w:rFonts w:hint="eastAsia" w:ascii="宋体" w:hAnsi="宋体"/>
                <w:sz w:val="24"/>
              </w:rPr>
              <w:t>≤13</w:t>
            </w:r>
            <w:r>
              <w:rPr>
                <w:rFonts w:ascii="宋体" w:hAnsi="宋体"/>
                <w:sz w:val="24"/>
              </w:rPr>
              <w:t>﹪</w:t>
            </w:r>
          </w:p>
        </w:tc>
        <w:tc>
          <w:tcPr>
            <w:tcW w:w="1190" w:type="dxa"/>
            <w:shd w:val="clear" w:color="auto" w:fill="auto"/>
            <w:vAlign w:val="center"/>
          </w:tcPr>
          <w:p w14:paraId="753AD1AF">
            <w:pPr>
              <w:spacing w:line="280" w:lineRule="exact"/>
              <w:jc w:val="center"/>
              <w:rPr>
                <w:rFonts w:ascii="宋体" w:hAnsi="宋体"/>
                <w:sz w:val="24"/>
              </w:rPr>
            </w:pPr>
            <w:r>
              <w:rPr>
                <w:rFonts w:hint="eastAsia" w:ascii="宋体" w:hAnsi="宋体"/>
                <w:sz w:val="24"/>
              </w:rPr>
              <w:t>≤3.</w:t>
            </w:r>
            <w:r>
              <w:rPr>
                <w:rFonts w:hint="eastAsia" w:ascii="宋体" w:hAnsi="宋体"/>
                <w:sz w:val="24"/>
                <w:lang w:val="en-US" w:eastAsia="zh-CN"/>
              </w:rPr>
              <w:t>0</w:t>
            </w:r>
            <w:r>
              <w:rPr>
                <w:rFonts w:ascii="宋体" w:hAnsi="宋体"/>
                <w:sz w:val="24"/>
              </w:rPr>
              <w:t>﹪</w:t>
            </w:r>
          </w:p>
        </w:tc>
        <w:tc>
          <w:tcPr>
            <w:tcW w:w="1972" w:type="dxa"/>
            <w:shd w:val="clear" w:color="auto" w:fill="auto"/>
            <w:vAlign w:val="center"/>
          </w:tcPr>
          <w:p w14:paraId="74CDC6FE">
            <w:pPr>
              <w:spacing w:line="280" w:lineRule="exact"/>
              <w:jc w:val="center"/>
              <w:rPr>
                <w:rFonts w:ascii="宋体" w:hAnsi="宋体"/>
                <w:sz w:val="24"/>
              </w:rPr>
            </w:pPr>
            <w:r>
              <w:rPr>
                <w:rFonts w:hint="eastAsia" w:ascii="宋体" w:hAnsi="宋体"/>
                <w:sz w:val="24"/>
              </w:rPr>
              <w:t>≤1.0</w:t>
            </w:r>
            <w:r>
              <w:rPr>
                <w:rFonts w:ascii="宋体" w:hAnsi="宋体"/>
                <w:sz w:val="24"/>
              </w:rPr>
              <w:t>﹪</w:t>
            </w:r>
          </w:p>
        </w:tc>
        <w:tc>
          <w:tcPr>
            <w:tcW w:w="1897" w:type="dxa"/>
          </w:tcPr>
          <w:p w14:paraId="5D24D0D3">
            <w:pPr>
              <w:spacing w:line="360" w:lineRule="auto"/>
              <w:rPr>
                <w:rFonts w:ascii="宋体" w:hAnsi="宋体"/>
                <w:sz w:val="24"/>
              </w:rPr>
            </w:pPr>
            <w:r>
              <w:rPr>
                <w:rFonts w:hint="eastAsia" w:ascii="宋体" w:hAnsi="宋体"/>
                <w:sz w:val="24"/>
              </w:rPr>
              <w:t>26≤</w:t>
            </w:r>
            <w:r>
              <w:rPr>
                <w:rFonts w:ascii="宋体" w:hAnsi="宋体"/>
                <w:sz w:val="24"/>
              </w:rPr>
              <w:t>Vad</w:t>
            </w:r>
            <w:r>
              <w:rPr>
                <w:rFonts w:hint="eastAsia" w:ascii="宋体" w:hAnsi="宋体"/>
                <w:sz w:val="24"/>
              </w:rPr>
              <w:t>≤35﹪</w:t>
            </w:r>
          </w:p>
        </w:tc>
      </w:tr>
    </w:tbl>
    <w:p w14:paraId="0D5C9F2B">
      <w:pPr>
        <w:spacing w:line="480" w:lineRule="exact"/>
        <w:rPr>
          <w:rFonts w:ascii="宋体" w:hAnsi="宋体"/>
          <w:sz w:val="24"/>
        </w:rPr>
      </w:pPr>
      <w:r>
        <w:rPr>
          <w:rFonts w:hint="eastAsia" w:ascii="宋体" w:hAnsi="宋体"/>
          <w:color w:val="FF0000"/>
          <w:sz w:val="24"/>
        </w:rPr>
        <w:t>注：需发运单一煤种</w:t>
      </w:r>
      <w:r>
        <w:rPr>
          <w:rFonts w:hint="eastAsia" w:ascii="宋体" w:hAnsi="宋体"/>
          <w:b/>
          <w:color w:val="FF0000"/>
          <w:sz w:val="24"/>
        </w:rPr>
        <w:t>，</w:t>
      </w:r>
      <w:r>
        <w:rPr>
          <w:rFonts w:hint="eastAsia" w:ascii="宋体" w:hAnsi="宋体"/>
          <w:color w:val="FF0000"/>
          <w:sz w:val="24"/>
        </w:rPr>
        <w:t>非单一煤种买方有权拒收，若已经收货无法拒收的，买方有权扣除卖方全额投标\履约保证金。卖方必须确保所提供烟煤粒度≤80mm，否则，若发生因烟煤粒度过大而造成买方下料口堵塞，清堵所产生的费用由卖方承担。</w:t>
      </w:r>
    </w:p>
    <w:p w14:paraId="0A462542">
      <w:pPr>
        <w:pStyle w:val="18"/>
        <w:numPr>
          <w:ilvl w:val="0"/>
          <w:numId w:val="5"/>
        </w:numPr>
        <w:spacing w:line="480" w:lineRule="exact"/>
        <w:ind w:firstLineChars="0"/>
        <w:rPr>
          <w:rFonts w:ascii="宋体" w:hAnsi="宋体"/>
          <w:sz w:val="24"/>
        </w:rPr>
      </w:pPr>
      <w:r>
        <w:rPr>
          <w:rFonts w:ascii="宋体" w:hAnsi="宋体"/>
          <w:sz w:val="24"/>
        </w:rPr>
        <w:t>数质量验收标准：</w:t>
      </w:r>
    </w:p>
    <w:p w14:paraId="0CC7F103">
      <w:pPr>
        <w:pStyle w:val="18"/>
        <w:numPr>
          <w:ilvl w:val="0"/>
          <w:numId w:val="6"/>
        </w:numPr>
        <w:spacing w:line="480" w:lineRule="exact"/>
        <w:ind w:firstLineChars="0"/>
        <w:rPr>
          <w:rFonts w:ascii="宋体" w:hAnsi="宋体" w:cs="宋体"/>
          <w:vanish/>
          <w:kern w:val="0"/>
          <w:sz w:val="24"/>
        </w:rPr>
      </w:pPr>
    </w:p>
    <w:p w14:paraId="06031CA8">
      <w:pPr>
        <w:pStyle w:val="18"/>
        <w:numPr>
          <w:ilvl w:val="0"/>
          <w:numId w:val="6"/>
        </w:numPr>
        <w:spacing w:line="480" w:lineRule="exact"/>
        <w:ind w:firstLineChars="0"/>
        <w:rPr>
          <w:rFonts w:ascii="宋体" w:hAnsi="宋体" w:cs="宋体"/>
          <w:vanish/>
          <w:kern w:val="0"/>
          <w:sz w:val="24"/>
        </w:rPr>
      </w:pPr>
    </w:p>
    <w:tbl>
      <w:tblPr>
        <w:tblStyle w:val="10"/>
        <w:tblW w:w="976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4"/>
        <w:gridCol w:w="7636"/>
      </w:tblGrid>
      <w:tr w14:paraId="7E587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24" w:type="dxa"/>
            <w:shd w:val="clear" w:color="auto" w:fill="auto"/>
            <w:vAlign w:val="center"/>
          </w:tcPr>
          <w:p w14:paraId="5B8D1A66">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质量名称</w:t>
            </w:r>
          </w:p>
        </w:tc>
        <w:tc>
          <w:tcPr>
            <w:tcW w:w="7636" w:type="dxa"/>
            <w:shd w:val="clear" w:color="auto" w:fill="auto"/>
            <w:vAlign w:val="center"/>
          </w:tcPr>
          <w:p w14:paraId="0CB568BC">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质量扣罚标准</w:t>
            </w:r>
          </w:p>
        </w:tc>
      </w:tr>
      <w:tr w14:paraId="6F5A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124" w:type="dxa"/>
            <w:shd w:val="clear" w:color="auto" w:fill="auto"/>
            <w:vAlign w:val="center"/>
          </w:tcPr>
          <w:p w14:paraId="17585B82">
            <w:pPr>
              <w:spacing w:line="280" w:lineRule="exact"/>
              <w:jc w:val="center"/>
              <w:rPr>
                <w:rFonts w:cs="Arial" w:asciiTheme="minorEastAsia" w:hAnsiTheme="minorEastAsia" w:eastAsiaTheme="minorEastAsia"/>
                <w:sz w:val="24"/>
                <w:shd w:val="pct15" w:color="auto" w:fill="FFFFFF"/>
              </w:rPr>
            </w:pPr>
            <w:r>
              <w:rPr>
                <w:rFonts w:cs="Arial" w:asciiTheme="minorEastAsia" w:hAnsiTheme="minorEastAsia" w:eastAsiaTheme="minorEastAsia"/>
                <w:sz w:val="24"/>
              </w:rPr>
              <w:t>收到基低位发热量</w:t>
            </w:r>
          </w:p>
          <w:p w14:paraId="2032EAD4">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（Qnet, ar）</w:t>
            </w:r>
          </w:p>
        </w:tc>
        <w:tc>
          <w:tcPr>
            <w:tcW w:w="7636" w:type="dxa"/>
            <w:shd w:val="clear" w:color="auto" w:fill="auto"/>
            <w:vAlign w:val="center"/>
          </w:tcPr>
          <w:p w14:paraId="14320183">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0大卡/千克≤收到基低位发热量＜5500大卡/千克，因入库或其他原因无法拒绝收货的，除按实际交货热值每减少1大卡/千克，价格减少（合同价格/基准发热量5800大卡/千克）元/吨外，每吨加扣62元/吨；(若到厂第三方检测热值低于5500大卡/千克，工厂有权拒收)；</w:t>
            </w:r>
          </w:p>
          <w:p w14:paraId="14DBE945">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5500大卡/千克≤收到基低位发热量＜5650大卡/千克，除按实际交货热值每减少1大卡/千克，价格减少（合同价格/基准发热量5800大卡/千克）元/吨外，每吨加扣42元/吨；</w:t>
            </w:r>
          </w:p>
          <w:p w14:paraId="7ABE157E">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5650大卡/千克≤收到基低位发热量＜5800大卡/千克，除按实际交货热值每减少1大卡/千克，价格减少（合同价格/基准发热量5800大卡/千克）元/吨外，每吨加扣22元/吨；</w:t>
            </w:r>
          </w:p>
          <w:p w14:paraId="1DC34118">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收到基低位发热量≥5800大卡/千克，实际交货热值每增加1大卡/千克，价格增加（合同价格/基准发热量5800大卡/千克）元/吨；</w:t>
            </w:r>
          </w:p>
          <w:p w14:paraId="40CA8891">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热值超过 6200 大卡/公斤不再奖励，按照最高奖励6200 大卡/公斤结算</w:t>
            </w:r>
          </w:p>
          <w:p w14:paraId="2CBBA6D5">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（基准热值5800大卡/公斤，吨单价四舍五入小数点后保留两位，热值单价四舍五入小数点后保留四位）</w:t>
            </w:r>
          </w:p>
        </w:tc>
      </w:tr>
      <w:tr w14:paraId="1569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24" w:type="dxa"/>
            <w:shd w:val="clear" w:color="auto" w:fill="auto"/>
            <w:vAlign w:val="center"/>
          </w:tcPr>
          <w:p w14:paraId="415DEC95">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全水份（ Mt ）</w:t>
            </w:r>
          </w:p>
        </w:tc>
        <w:tc>
          <w:tcPr>
            <w:tcW w:w="7636" w:type="dxa"/>
            <w:shd w:val="clear" w:color="auto" w:fill="auto"/>
            <w:vAlign w:val="center"/>
          </w:tcPr>
          <w:p w14:paraId="27514546">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 xml:space="preserve">超出 </w:t>
            </w:r>
            <w:r>
              <w:rPr>
                <w:rFonts w:cs="Arial" w:asciiTheme="minorEastAsia" w:hAnsiTheme="minorEastAsia" w:eastAsiaTheme="minorEastAsia"/>
                <w:sz w:val="24"/>
                <w:u w:val="single"/>
              </w:rPr>
              <w:t>1</w:t>
            </w:r>
            <w:r>
              <w:rPr>
                <w:rFonts w:hint="eastAsia" w:cs="Arial" w:asciiTheme="minorEastAsia" w:hAnsiTheme="minorEastAsia" w:eastAsiaTheme="minorEastAsia"/>
                <w:sz w:val="24"/>
                <w:u w:val="single"/>
              </w:rPr>
              <w:t>3</w:t>
            </w:r>
            <w:r>
              <w:rPr>
                <w:rFonts w:cs="Arial" w:asciiTheme="minorEastAsia" w:hAnsiTheme="minorEastAsia" w:eastAsiaTheme="minorEastAsia"/>
                <w:sz w:val="24"/>
                <w:u w:val="single"/>
              </w:rPr>
              <w:t xml:space="preserve">% </w:t>
            </w:r>
            <w:r>
              <w:rPr>
                <w:rFonts w:cs="Arial" w:asciiTheme="minorEastAsia" w:hAnsiTheme="minorEastAsia" w:eastAsiaTheme="minorEastAsia"/>
                <w:sz w:val="24"/>
              </w:rPr>
              <w:t>部分按百分比扣除相应吨位</w:t>
            </w:r>
            <w:r>
              <w:rPr>
                <w:rFonts w:hint="eastAsia" w:cs="Arial" w:asciiTheme="minorEastAsia" w:hAnsiTheme="minorEastAsia" w:eastAsiaTheme="minorEastAsia"/>
                <w:sz w:val="24"/>
              </w:rPr>
              <w:t>（四舍五入，小数点后保留两位，下同）。</w:t>
            </w:r>
          </w:p>
        </w:tc>
      </w:tr>
      <w:tr w14:paraId="1225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24" w:type="dxa"/>
            <w:shd w:val="clear" w:color="auto" w:fill="auto"/>
            <w:vAlign w:val="center"/>
          </w:tcPr>
          <w:p w14:paraId="35937C9C">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空干基水（Mad）</w:t>
            </w:r>
          </w:p>
        </w:tc>
        <w:tc>
          <w:tcPr>
            <w:tcW w:w="7636" w:type="dxa"/>
            <w:shd w:val="clear" w:color="auto" w:fill="auto"/>
            <w:vAlign w:val="center"/>
          </w:tcPr>
          <w:p w14:paraId="4EB61623">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 3.</w:t>
            </w:r>
            <w:r>
              <w:rPr>
                <w:rFonts w:hint="eastAsia" w:cs="Arial" w:asciiTheme="minorEastAsia" w:hAnsiTheme="minorEastAsia" w:eastAsiaTheme="minorEastAsia"/>
                <w:sz w:val="24"/>
                <w:u w:val="single"/>
                <w:lang w:val="en-US" w:eastAsia="zh-CN"/>
              </w:rPr>
              <w:t>0</w:t>
            </w:r>
            <w:r>
              <w:rPr>
                <w:rFonts w:cs="Arial" w:asciiTheme="minorEastAsia" w:hAnsiTheme="minorEastAsia" w:eastAsiaTheme="minorEastAsia"/>
                <w:sz w:val="24"/>
                <w:u w:val="single"/>
              </w:rPr>
              <w:t>%</w:t>
            </w:r>
            <w:r>
              <w:rPr>
                <w:rFonts w:cs="Arial" w:asciiTheme="minorEastAsia" w:hAnsiTheme="minorEastAsia" w:eastAsiaTheme="minorEastAsia"/>
                <w:sz w:val="24"/>
              </w:rPr>
              <w:t>的部分，每超0.1﹪扣包干价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w:t>
            </w:r>
          </w:p>
        </w:tc>
      </w:tr>
      <w:tr w14:paraId="4166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24" w:type="dxa"/>
            <w:vMerge w:val="restart"/>
            <w:shd w:val="clear" w:color="auto" w:fill="auto"/>
            <w:vAlign w:val="center"/>
          </w:tcPr>
          <w:p w14:paraId="754381B2">
            <w:pPr>
              <w:spacing w:line="280" w:lineRule="exact"/>
              <w:jc w:val="center"/>
              <w:rPr>
                <w:rFonts w:cs="Arial" w:asciiTheme="minorEastAsia" w:hAnsiTheme="minorEastAsia" w:eastAsiaTheme="minorEastAsia"/>
                <w:sz w:val="24"/>
              </w:rPr>
            </w:pPr>
            <w:r>
              <w:rPr>
                <w:rFonts w:hint="eastAsia" w:cs="Arial" w:asciiTheme="minorEastAsia" w:hAnsiTheme="minorEastAsia" w:eastAsiaTheme="minorEastAsia"/>
                <w:sz w:val="24"/>
              </w:rPr>
              <w:t>空干基</w:t>
            </w:r>
            <w:r>
              <w:rPr>
                <w:rFonts w:cs="Arial" w:asciiTheme="minorEastAsia" w:hAnsiTheme="minorEastAsia" w:eastAsiaTheme="minorEastAsia"/>
                <w:sz w:val="24"/>
              </w:rPr>
              <w:t>全硫（St,ad）</w:t>
            </w:r>
          </w:p>
        </w:tc>
        <w:tc>
          <w:tcPr>
            <w:tcW w:w="7636" w:type="dxa"/>
            <w:shd w:val="clear" w:color="auto" w:fill="auto"/>
            <w:vAlign w:val="center"/>
          </w:tcPr>
          <w:p w14:paraId="4F65B588">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1.0 </w:t>
            </w:r>
            <w:r>
              <w:rPr>
                <w:rFonts w:cs="Arial" w:asciiTheme="minorEastAsia" w:hAnsiTheme="minorEastAsia" w:eastAsiaTheme="minorEastAsia"/>
                <w:sz w:val="24"/>
              </w:rPr>
              <w:t>﹪的部分，每超0.1﹪扣包干价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w:t>
            </w:r>
          </w:p>
        </w:tc>
      </w:tr>
      <w:tr w14:paraId="4A2D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2124" w:type="dxa"/>
            <w:vMerge w:val="continue"/>
            <w:shd w:val="clear" w:color="auto" w:fill="auto"/>
            <w:vAlign w:val="center"/>
          </w:tcPr>
          <w:p w14:paraId="3754BC14">
            <w:pPr>
              <w:spacing w:line="280" w:lineRule="exact"/>
              <w:jc w:val="center"/>
              <w:rPr>
                <w:rFonts w:cs="Arial" w:asciiTheme="minorEastAsia" w:hAnsiTheme="minorEastAsia" w:eastAsiaTheme="minorEastAsia"/>
                <w:sz w:val="24"/>
              </w:rPr>
            </w:pPr>
          </w:p>
        </w:tc>
        <w:tc>
          <w:tcPr>
            <w:tcW w:w="7636" w:type="dxa"/>
            <w:shd w:val="clear" w:color="auto" w:fill="auto"/>
            <w:vAlign w:val="center"/>
          </w:tcPr>
          <w:p w14:paraId="53DDD938">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  1.2 </w:t>
            </w:r>
            <w:r>
              <w:rPr>
                <w:rFonts w:cs="Arial" w:asciiTheme="minorEastAsia" w:hAnsiTheme="minorEastAsia" w:eastAsiaTheme="minorEastAsia"/>
                <w:sz w:val="24"/>
              </w:rPr>
              <w:t>﹪买方有权拒绝收货，因入库或其他原因无法拒绝收货的，除按＞1.0﹪每超0.1﹪扣包干价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元/吨外，加扣</w:t>
            </w:r>
            <w:r>
              <w:rPr>
                <w:rFonts w:cs="Arial" w:asciiTheme="minorEastAsia" w:hAnsiTheme="minorEastAsia" w:eastAsiaTheme="minorEastAsia"/>
                <w:sz w:val="24"/>
                <w:u w:val="single"/>
              </w:rPr>
              <w:t xml:space="preserve"> 10</w:t>
            </w:r>
            <w:r>
              <w:rPr>
                <w:rFonts w:cs="Arial" w:asciiTheme="minorEastAsia" w:hAnsiTheme="minorEastAsia" w:eastAsiaTheme="minorEastAsia"/>
                <w:sz w:val="24"/>
              </w:rPr>
              <w:t>元/吨</w:t>
            </w:r>
          </w:p>
        </w:tc>
      </w:tr>
      <w:tr w14:paraId="50ED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2124" w:type="dxa"/>
            <w:shd w:val="clear" w:color="auto" w:fill="auto"/>
            <w:vAlign w:val="center"/>
          </w:tcPr>
          <w:p w14:paraId="7F9B5659">
            <w:pPr>
              <w:spacing w:line="280" w:lineRule="exact"/>
              <w:jc w:val="center"/>
              <w:rPr>
                <w:rFonts w:cs="Arial" w:asciiTheme="minorEastAsia" w:hAnsiTheme="minorEastAsia" w:eastAsiaTheme="minorEastAsia"/>
                <w:sz w:val="24"/>
              </w:rPr>
            </w:pPr>
            <w:r>
              <w:rPr>
                <w:rFonts w:hint="eastAsia" w:cs="Arial" w:asciiTheme="minorEastAsia" w:hAnsiTheme="minorEastAsia" w:eastAsiaTheme="minorEastAsia"/>
                <w:sz w:val="24"/>
              </w:rPr>
              <w:t>空干基挥发份（Vad）</w:t>
            </w:r>
          </w:p>
        </w:tc>
        <w:tc>
          <w:tcPr>
            <w:tcW w:w="7636" w:type="dxa"/>
            <w:shd w:val="clear" w:color="auto" w:fill="auto"/>
            <w:vAlign w:val="center"/>
          </w:tcPr>
          <w:p w14:paraId="6515AF80">
            <w:pPr>
              <w:spacing w:line="280" w:lineRule="exact"/>
              <w:jc w:val="left"/>
              <w:rPr>
                <w:rFonts w:cs="Arial" w:asciiTheme="minorEastAsia" w:hAnsiTheme="minorEastAsia" w:eastAsiaTheme="minorEastAsia"/>
                <w:sz w:val="24"/>
              </w:rPr>
            </w:pPr>
            <w:r>
              <w:rPr>
                <w:rFonts w:hint="eastAsia" w:cs="Arial" w:asciiTheme="minorEastAsia" w:hAnsiTheme="minorEastAsia" w:eastAsiaTheme="minorEastAsia"/>
                <w:sz w:val="24"/>
              </w:rPr>
              <w:t xml:space="preserve">低于26%的部分，每低1﹪扣包干价  3  元/吨；高于35%的部分，每高1﹪扣包干价 </w:t>
            </w:r>
            <w:r>
              <w:rPr>
                <w:rFonts w:hint="eastAsia" w:cs="Arial" w:asciiTheme="minorEastAsia" w:hAnsiTheme="minorEastAsia" w:eastAsiaTheme="minorEastAsia"/>
                <w:sz w:val="24"/>
                <w:u w:val="single"/>
              </w:rPr>
              <w:t xml:space="preserve"> 3  </w:t>
            </w:r>
            <w:r>
              <w:rPr>
                <w:rFonts w:hint="eastAsia" w:cs="Arial" w:asciiTheme="minorEastAsia" w:hAnsiTheme="minorEastAsia" w:eastAsiaTheme="minorEastAsia"/>
                <w:sz w:val="24"/>
              </w:rPr>
              <w:t>元/吨</w:t>
            </w:r>
          </w:p>
        </w:tc>
      </w:tr>
    </w:tbl>
    <w:p w14:paraId="17545266">
      <w:pPr>
        <w:pStyle w:val="18"/>
        <w:spacing w:line="480" w:lineRule="exact"/>
        <w:ind w:left="420" w:firstLine="0" w:firstLineChars="0"/>
        <w:rPr>
          <w:rFonts w:ascii="宋体" w:hAnsi="宋体" w:cs="宋体"/>
          <w:kern w:val="0"/>
          <w:sz w:val="24"/>
        </w:rPr>
      </w:pPr>
      <w:r>
        <w:rPr>
          <w:rFonts w:hint="eastAsia" w:ascii="宋体" w:hAnsi="宋体" w:cs="宋体"/>
          <w:kern w:val="0"/>
          <w:sz w:val="24"/>
        </w:rPr>
        <w:t>注：焦渣特征≤5型，如不满足要求，我公司有权拒收，且造成的损失由供方承担。</w:t>
      </w:r>
    </w:p>
    <w:p w14:paraId="6D80F506">
      <w:pPr>
        <w:pStyle w:val="18"/>
        <w:numPr>
          <w:ilvl w:val="0"/>
          <w:numId w:val="6"/>
        </w:numPr>
        <w:spacing w:line="480" w:lineRule="exact"/>
        <w:ind w:firstLineChars="0"/>
        <w:rPr>
          <w:rFonts w:ascii="宋体" w:hAnsi="宋体" w:cs="宋体"/>
          <w:kern w:val="0"/>
          <w:sz w:val="24"/>
        </w:rPr>
      </w:pPr>
      <w:r>
        <w:rPr>
          <w:rFonts w:hint="eastAsia" w:ascii="宋体" w:hAnsi="宋体" w:cs="宋体"/>
          <w:kern w:val="0"/>
          <w:sz w:val="24"/>
        </w:rPr>
        <w:t>数量计量方法：以到厂地磅、皮带秤数量、货物交接单、第三方数质量报告为结算依据。</w:t>
      </w:r>
    </w:p>
    <w:p w14:paraId="04482E5F">
      <w:pPr>
        <w:pStyle w:val="18"/>
        <w:spacing w:line="480" w:lineRule="exact"/>
        <w:ind w:left="420" w:firstLine="0" w:firstLineChars="0"/>
        <w:rPr>
          <w:rFonts w:ascii="宋体" w:hAnsi="宋体" w:cs="宋体"/>
          <w:kern w:val="0"/>
          <w:sz w:val="24"/>
        </w:rPr>
      </w:pPr>
      <w:r>
        <w:rPr>
          <w:rFonts w:hint="eastAsia" w:ascii="宋体" w:hAnsi="宋体" w:cs="宋体"/>
          <w:kern w:val="0"/>
          <w:sz w:val="24"/>
        </w:rPr>
        <w:t>质量验收方法：由双方认可的第三方（力鸿集团，英斯贝克，SGS</w:t>
      </w:r>
      <w:r>
        <w:rPr>
          <w:rFonts w:hint="eastAsia" w:ascii="宋体" w:hAnsi="宋体" w:cs="宋体"/>
          <w:kern w:val="0"/>
          <w:sz w:val="24"/>
          <w:lang w:eastAsia="zh-CN"/>
        </w:rPr>
        <w:t>，</w:t>
      </w:r>
      <w:r>
        <w:rPr>
          <w:rFonts w:hint="eastAsia" w:ascii="宋体" w:hAnsi="宋体" w:cs="宋体"/>
          <w:kern w:val="0"/>
          <w:sz w:val="24"/>
          <w:lang w:val="en-US" w:eastAsia="zh-CN"/>
        </w:rPr>
        <w:t>中理检验</w:t>
      </w:r>
      <w:r>
        <w:rPr>
          <w:rFonts w:hint="eastAsia" w:ascii="宋体" w:hAnsi="宋体" w:cs="宋体"/>
          <w:kern w:val="0"/>
          <w:sz w:val="24"/>
        </w:rPr>
        <w:t>）任意一家在交货过程中现场采样后的检验结果作为质量依据。一般情况下，选择煤炭进场时，正在现场附近实施采样作业的上述三两家第方检验公司之一，作为本业务的第三方服务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水份不仲裁）。</w:t>
      </w:r>
    </w:p>
    <w:p w14:paraId="0EA7797B">
      <w:pPr>
        <w:pStyle w:val="18"/>
        <w:numPr>
          <w:ilvl w:val="0"/>
          <w:numId w:val="6"/>
        </w:numPr>
        <w:spacing w:line="480" w:lineRule="exact"/>
        <w:ind w:firstLineChars="0"/>
        <w:rPr>
          <w:rFonts w:ascii="宋体" w:hAnsi="宋体" w:cs="宋体"/>
          <w:kern w:val="0"/>
          <w:sz w:val="24"/>
        </w:rPr>
      </w:pPr>
      <w:r>
        <w:rPr>
          <w:rFonts w:hint="eastAsia" w:ascii="宋体" w:hAnsi="宋体" w:cs="宋体"/>
          <w:kern w:val="0"/>
          <w:sz w:val="24"/>
        </w:rPr>
        <w:t>采样：以工厂取样、检测结果为结算依据的煤,船运（火车）煤进厂按品种、分供方以不大于1000t为一基本采样单元；汽车煤按品种、分供方以四车或不大于300T为一基本采样单元。以第三方取样、检测结果为结算依据的煤按品种、分供方以不大于1000t为一基本采样单元。</w:t>
      </w:r>
    </w:p>
    <w:p w14:paraId="1DFB3D57">
      <w:pPr>
        <w:pStyle w:val="18"/>
        <w:keepNext w:val="0"/>
        <w:keepLines w:val="0"/>
        <w:pageBreakBefore w:val="0"/>
        <w:widowControl w:val="0"/>
        <w:numPr>
          <w:ilvl w:val="0"/>
          <w:numId w:val="6"/>
        </w:numPr>
        <w:kinsoku/>
        <w:wordWrap/>
        <w:overflowPunct/>
        <w:topLinePunct w:val="0"/>
        <w:autoSpaceDE/>
        <w:autoSpaceDN/>
        <w:bidi w:val="0"/>
        <w:adjustRightInd/>
        <w:snapToGrid/>
        <w:spacing w:line="480" w:lineRule="exact"/>
        <w:ind w:left="420" w:firstLineChars="0"/>
        <w:textAlignment w:val="auto"/>
        <w:rPr>
          <w:rFonts w:ascii="宋体" w:hAnsi="宋体" w:cs="宋体"/>
          <w:kern w:val="0"/>
          <w:sz w:val="24"/>
        </w:rPr>
      </w:pPr>
      <w:r>
        <w:rPr>
          <w:rFonts w:hint="eastAsia" w:ascii="宋体" w:hAnsi="宋体" w:cs="宋体"/>
          <w:kern w:val="0"/>
          <w:sz w:val="24"/>
        </w:rPr>
        <w:t>结算方式：车载煤以采样单元为结算单位、火车煤以列为结算单位、船煤以只为结算单位。最终对合同时间内完成的送货基于检验报告统一制作结算单进行结算。结算按照同一供应商，火车煤按列结算、船运煤按只结算、汽车煤按检验对应吨位进行结算。</w:t>
      </w:r>
    </w:p>
    <w:p w14:paraId="7F062E9D">
      <w:pPr>
        <w:pStyle w:val="18"/>
        <w:keepNext w:val="0"/>
        <w:keepLines w:val="0"/>
        <w:pageBreakBefore w:val="0"/>
        <w:widowControl w:val="0"/>
        <w:kinsoku/>
        <w:wordWrap/>
        <w:overflowPunct/>
        <w:topLinePunct w:val="0"/>
        <w:autoSpaceDE/>
        <w:autoSpaceDN/>
        <w:bidi w:val="0"/>
        <w:adjustRightInd/>
        <w:snapToGrid/>
        <w:spacing w:line="480" w:lineRule="exact"/>
        <w:ind w:left="420" w:firstLine="0" w:firstLineChars="0"/>
        <w:textAlignment w:val="auto"/>
        <w:rPr>
          <w:rFonts w:ascii="宋体" w:hAnsi="宋体" w:cs="宋体"/>
          <w:kern w:val="0"/>
          <w:sz w:val="24"/>
        </w:rPr>
      </w:pPr>
      <w:r>
        <w:rPr>
          <w:rFonts w:hint="eastAsia" w:ascii="宋体" w:hAnsi="宋体" w:cs="宋体"/>
          <w:kern w:val="0"/>
          <w:sz w:val="24"/>
        </w:rPr>
        <w:t>注意：此处的船运煤及火车煤是从码头或车站直接运输进厂，如经过合同方堆场堆放后再倒运入厂，应定义为车载煤。</w:t>
      </w:r>
    </w:p>
    <w:p w14:paraId="7095DAD9">
      <w:pPr>
        <w:pStyle w:val="18"/>
        <w:numPr>
          <w:ilvl w:val="0"/>
          <w:numId w:val="6"/>
        </w:numPr>
        <w:spacing w:line="480" w:lineRule="exact"/>
        <w:ind w:firstLineChars="0"/>
        <w:rPr>
          <w:rFonts w:ascii="宋体" w:hAnsi="宋体" w:cs="宋体"/>
          <w:kern w:val="0"/>
          <w:sz w:val="24"/>
        </w:rPr>
      </w:pPr>
      <w:r>
        <w:rPr>
          <w:rFonts w:hint="eastAsia" w:ascii="宋体" w:hAnsi="宋体" w:cs="宋体"/>
          <w:kern w:val="0"/>
          <w:sz w:val="24"/>
        </w:rPr>
        <w:t>卖方在完成合同约定的交货数量后，买方根据双方确认的质检报告及相关文件编制结算表。卖方在收到结算表后，应在5个工作日内确认并开具发票，买方应在收到发票后30天内支付货款。</w:t>
      </w:r>
    </w:p>
    <w:p w14:paraId="19991900">
      <w:pPr>
        <w:spacing w:line="480" w:lineRule="exact"/>
        <w:ind w:firstLine="480" w:firstLineChars="200"/>
        <w:rPr>
          <w:rFonts w:ascii="宋体" w:hAnsi="宋体" w:cs="宋体"/>
          <w:kern w:val="0"/>
          <w:sz w:val="24"/>
        </w:rPr>
      </w:pPr>
      <w:r>
        <w:rPr>
          <w:rFonts w:hint="eastAsia" w:ascii="宋体" w:hAnsi="宋体" w:cs="宋体"/>
          <w:kern w:val="0"/>
          <w:sz w:val="24"/>
        </w:rPr>
        <w:t>后附：承诺书、授权委托书、报价明细表</w:t>
      </w:r>
    </w:p>
    <w:p w14:paraId="3049A582">
      <w:pPr>
        <w:spacing w:line="360" w:lineRule="auto"/>
        <w:ind w:firstLine="480" w:firstLineChars="200"/>
        <w:rPr>
          <w:rFonts w:ascii="宋体" w:hAnsi="宋体"/>
          <w:b/>
          <w:sz w:val="32"/>
          <w:szCs w:val="32"/>
        </w:rPr>
      </w:pPr>
      <w:r>
        <w:rPr>
          <w:rFonts w:hint="eastAsia" w:ascii="宋体" w:hAnsi="宋体" w:cs="宋体"/>
          <w:kern w:val="0"/>
          <w:sz w:val="24"/>
        </w:rPr>
        <w:t>联系人：</w:t>
      </w:r>
      <w:r>
        <w:rPr>
          <w:rFonts w:hint="eastAsia" w:ascii="宋体" w:hAnsi="宋体" w:cs="宋体"/>
          <w:kern w:val="0"/>
          <w:sz w:val="24"/>
          <w:lang w:val="en-US" w:eastAsia="zh-CN"/>
        </w:rPr>
        <w:t>程加胜</w:t>
      </w:r>
      <w:r>
        <w:rPr>
          <w:rFonts w:hint="eastAsia" w:ascii="宋体" w:hAnsi="宋体" w:cs="宋体"/>
          <w:kern w:val="0"/>
          <w:sz w:val="24"/>
        </w:rPr>
        <w:t xml:space="preserve">   </w:t>
      </w:r>
      <w:r>
        <w:rPr>
          <w:rFonts w:hint="eastAsia" w:ascii="宋体" w:hAnsi="宋体" w:cs="宋体"/>
          <w:kern w:val="0"/>
          <w:sz w:val="24"/>
          <w:lang w:val="en-US" w:eastAsia="zh-CN"/>
        </w:rPr>
        <w:t xml:space="preserve"> </w:t>
      </w:r>
      <w:r>
        <w:rPr>
          <w:rFonts w:hint="eastAsia" w:ascii="宋体" w:hAnsi="宋体" w:cs="宋体"/>
          <w:kern w:val="0"/>
          <w:sz w:val="24"/>
        </w:rPr>
        <w:t>电话：</w:t>
      </w:r>
      <w:r>
        <w:rPr>
          <w:rFonts w:hint="eastAsia" w:ascii="宋体" w:hAnsi="宋体" w:cs="宋体"/>
          <w:kern w:val="0"/>
          <w:sz w:val="24"/>
          <w:lang w:val="en-US" w:eastAsia="zh-CN"/>
        </w:rPr>
        <w:t>13996848639</w:t>
      </w:r>
      <w:r>
        <w:rPr>
          <w:rFonts w:hint="eastAsia" w:ascii="宋体" w:hAnsi="宋体" w:cs="宋体"/>
          <w:kern w:val="0"/>
          <w:sz w:val="24"/>
        </w:rPr>
        <w:t xml:space="preserve">   邮箱：</w:t>
      </w:r>
      <w:r>
        <w:fldChar w:fldCharType="begin"/>
      </w:r>
      <w:r>
        <w:instrText xml:space="preserve"> HYPERLINK "mailto:dudebiao@huaxincem.com" </w:instrText>
      </w:r>
      <w:r>
        <w:fldChar w:fldCharType="separate"/>
      </w:r>
      <w:r>
        <w:rPr>
          <w:rFonts w:hint="eastAsia"/>
          <w:lang w:val="en-US" w:eastAsia="zh-CN"/>
        </w:rPr>
        <w:t>chengjiasheng</w:t>
      </w:r>
      <w:r>
        <w:rPr>
          <w:rFonts w:hint="eastAsia"/>
        </w:rPr>
        <w:t>@huaxincem.com</w:t>
      </w:r>
      <w:r>
        <w:rPr>
          <w:rFonts w:hint="eastAsia"/>
        </w:rPr>
        <w:fldChar w:fldCharType="end"/>
      </w:r>
    </w:p>
    <w:p w14:paraId="5DDBD84E">
      <w:pPr>
        <w:spacing w:line="360" w:lineRule="auto"/>
        <w:jc w:val="left"/>
        <w:rPr>
          <w:rFonts w:ascii="宋体" w:hAnsi="宋体"/>
          <w:b/>
          <w:sz w:val="32"/>
          <w:szCs w:val="32"/>
        </w:rPr>
      </w:pPr>
      <w:r>
        <w:rPr>
          <w:rFonts w:hint="eastAsia" w:ascii="宋体" w:hAnsi="宋体"/>
          <w:b/>
          <w:sz w:val="32"/>
          <w:szCs w:val="32"/>
        </w:rPr>
        <w:t>附件1</w:t>
      </w:r>
    </w:p>
    <w:p w14:paraId="52085136">
      <w:pPr>
        <w:spacing w:line="360" w:lineRule="auto"/>
        <w:jc w:val="center"/>
        <w:rPr>
          <w:rFonts w:ascii="宋体" w:hAnsi="宋体"/>
          <w:b/>
          <w:sz w:val="32"/>
          <w:szCs w:val="32"/>
        </w:rPr>
      </w:pPr>
      <w:r>
        <w:rPr>
          <w:rFonts w:ascii="宋体" w:hAnsi="宋体"/>
          <w:b/>
          <w:sz w:val="32"/>
          <w:szCs w:val="32"/>
        </w:rPr>
        <w:t>投标保证金账号</w:t>
      </w:r>
    </w:p>
    <w:p w14:paraId="7295B341">
      <w:pPr>
        <w:spacing w:line="480" w:lineRule="exact"/>
        <w:rPr>
          <w:rFonts w:ascii="宋体" w:hAnsi="宋体" w:cs="宋体"/>
          <w:kern w:val="0"/>
          <w:sz w:val="24"/>
        </w:rPr>
      </w:pPr>
    </w:p>
    <w:tbl>
      <w:tblPr>
        <w:tblStyle w:val="10"/>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7743"/>
      </w:tblGrid>
      <w:tr w14:paraId="4BA3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9477" w:type="dxa"/>
            <w:gridSpan w:val="2"/>
            <w:tcBorders>
              <w:top w:val="single" w:color="auto" w:sz="4" w:space="0"/>
              <w:left w:val="single" w:color="auto" w:sz="4" w:space="0"/>
              <w:bottom w:val="single" w:color="auto" w:sz="4" w:space="0"/>
              <w:right w:val="single" w:color="auto" w:sz="4" w:space="0"/>
            </w:tcBorders>
            <w:vAlign w:val="center"/>
          </w:tcPr>
          <w:p w14:paraId="5F3AEFDD">
            <w:pPr>
              <w:jc w:val="center"/>
              <w:rPr>
                <w:rFonts w:ascii="宋体" w:hAnsi="宋体"/>
                <w:b/>
                <w:bCs/>
                <w:snapToGrid w:val="0"/>
                <w:kern w:val="28"/>
                <w:sz w:val="32"/>
              </w:rPr>
            </w:pPr>
            <w:r>
              <w:rPr>
                <w:rFonts w:hint="eastAsia" w:ascii="宋体" w:hAnsi="宋体"/>
                <w:b/>
                <w:bCs/>
                <w:snapToGrid w:val="0"/>
                <w:kern w:val="28"/>
                <w:sz w:val="32"/>
              </w:rPr>
              <w:t>投标/履约保证金收款帐号信息</w:t>
            </w:r>
          </w:p>
        </w:tc>
      </w:tr>
      <w:tr w14:paraId="041BE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1734" w:type="dxa"/>
            <w:tcBorders>
              <w:top w:val="single" w:color="auto" w:sz="4" w:space="0"/>
              <w:left w:val="single" w:color="auto" w:sz="4" w:space="0"/>
              <w:bottom w:val="single" w:color="auto" w:sz="4" w:space="0"/>
              <w:right w:val="single" w:color="auto" w:sz="4" w:space="0"/>
            </w:tcBorders>
            <w:vAlign w:val="center"/>
          </w:tcPr>
          <w:p w14:paraId="3C7FF670">
            <w:pPr>
              <w:jc w:val="center"/>
              <w:rPr>
                <w:rFonts w:ascii="宋体" w:hAnsi="宋体"/>
                <w:b/>
                <w:bCs/>
                <w:snapToGrid w:val="0"/>
                <w:kern w:val="28"/>
                <w:sz w:val="32"/>
              </w:rPr>
            </w:pPr>
            <w:r>
              <w:rPr>
                <w:rFonts w:hint="eastAsia" w:ascii="宋体" w:hAnsi="宋体"/>
                <w:b/>
                <w:bCs/>
                <w:snapToGrid w:val="0"/>
                <w:kern w:val="28"/>
                <w:sz w:val="32"/>
              </w:rPr>
              <w:t>户</w:t>
            </w:r>
            <w:r>
              <w:rPr>
                <w:rFonts w:ascii="宋体" w:hAnsi="宋体"/>
                <w:b/>
                <w:bCs/>
                <w:snapToGrid w:val="0"/>
                <w:kern w:val="28"/>
                <w:sz w:val="32"/>
              </w:rPr>
              <w:t xml:space="preserve">    </w:t>
            </w:r>
            <w:r>
              <w:rPr>
                <w:rFonts w:hint="eastAsia" w:ascii="宋体" w:hAnsi="宋体"/>
                <w:b/>
                <w:bCs/>
                <w:snapToGrid w:val="0"/>
                <w:kern w:val="28"/>
                <w:sz w:val="32"/>
              </w:rPr>
              <w:t>名</w:t>
            </w:r>
          </w:p>
        </w:tc>
        <w:tc>
          <w:tcPr>
            <w:tcW w:w="7743" w:type="dxa"/>
            <w:tcBorders>
              <w:top w:val="single" w:color="auto" w:sz="4" w:space="0"/>
              <w:left w:val="single" w:color="auto" w:sz="4" w:space="0"/>
              <w:bottom w:val="single" w:color="auto" w:sz="4" w:space="0"/>
              <w:right w:val="single" w:color="auto" w:sz="4" w:space="0"/>
            </w:tcBorders>
            <w:vAlign w:val="center"/>
          </w:tcPr>
          <w:p w14:paraId="6FA94AEA">
            <w:pPr>
              <w:jc w:val="center"/>
              <w:rPr>
                <w:rFonts w:ascii="宋体" w:hAnsi="宋体"/>
                <w:b/>
                <w:bCs/>
                <w:snapToGrid w:val="0"/>
                <w:kern w:val="28"/>
                <w:sz w:val="32"/>
              </w:rPr>
            </w:pPr>
            <w:r>
              <w:rPr>
                <w:rFonts w:hint="eastAsia" w:ascii="宋体" w:hAnsi="宋体"/>
                <w:b/>
                <w:bCs/>
                <w:snapToGrid w:val="0"/>
                <w:kern w:val="28"/>
                <w:sz w:val="32"/>
              </w:rPr>
              <w:t>华新建材集团股份有限公司</w:t>
            </w:r>
          </w:p>
        </w:tc>
      </w:tr>
      <w:tr w14:paraId="4739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1734" w:type="dxa"/>
            <w:tcBorders>
              <w:top w:val="single" w:color="auto" w:sz="4" w:space="0"/>
              <w:left w:val="single" w:color="auto" w:sz="4" w:space="0"/>
              <w:bottom w:val="single" w:color="auto" w:sz="4" w:space="0"/>
              <w:right w:val="single" w:color="auto" w:sz="4" w:space="0"/>
            </w:tcBorders>
            <w:vAlign w:val="center"/>
          </w:tcPr>
          <w:p w14:paraId="4FF57B84">
            <w:pPr>
              <w:jc w:val="center"/>
              <w:rPr>
                <w:rFonts w:ascii="宋体" w:hAnsi="宋体"/>
                <w:b/>
                <w:bCs/>
                <w:snapToGrid w:val="0"/>
                <w:kern w:val="28"/>
                <w:sz w:val="32"/>
              </w:rPr>
            </w:pPr>
            <w:r>
              <w:rPr>
                <w:rFonts w:hint="eastAsia" w:ascii="宋体" w:hAnsi="宋体"/>
                <w:b/>
                <w:bCs/>
                <w:snapToGrid w:val="0"/>
                <w:kern w:val="28"/>
                <w:sz w:val="32"/>
              </w:rPr>
              <w:t>收款帐号</w:t>
            </w:r>
          </w:p>
        </w:tc>
        <w:tc>
          <w:tcPr>
            <w:tcW w:w="7743" w:type="dxa"/>
            <w:tcBorders>
              <w:top w:val="single" w:color="auto" w:sz="4" w:space="0"/>
              <w:left w:val="single" w:color="auto" w:sz="4" w:space="0"/>
              <w:bottom w:val="single" w:color="auto" w:sz="4" w:space="0"/>
              <w:right w:val="single" w:color="auto" w:sz="4" w:space="0"/>
            </w:tcBorders>
            <w:vAlign w:val="center"/>
          </w:tcPr>
          <w:p w14:paraId="595F2F2D">
            <w:pPr>
              <w:jc w:val="center"/>
              <w:rPr>
                <w:rFonts w:ascii="宋体" w:hAnsi="宋体"/>
                <w:b/>
                <w:bCs/>
                <w:snapToGrid w:val="0"/>
                <w:kern w:val="28"/>
                <w:sz w:val="32"/>
              </w:rPr>
            </w:pPr>
            <w:r>
              <w:rPr>
                <w:rFonts w:ascii="宋体" w:hAnsi="宋体"/>
                <w:b/>
                <w:bCs/>
                <w:snapToGrid w:val="0"/>
                <w:kern w:val="28"/>
                <w:sz w:val="32"/>
              </w:rPr>
              <w:t>42001606808050002050</w:t>
            </w:r>
          </w:p>
        </w:tc>
      </w:tr>
      <w:tr w14:paraId="188D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 w:hRule="atLeast"/>
          <w:jc w:val="center"/>
        </w:trPr>
        <w:tc>
          <w:tcPr>
            <w:tcW w:w="1734" w:type="dxa"/>
            <w:tcBorders>
              <w:top w:val="single" w:color="auto" w:sz="4" w:space="0"/>
              <w:left w:val="single" w:color="auto" w:sz="4" w:space="0"/>
              <w:bottom w:val="single" w:color="auto" w:sz="4" w:space="0"/>
              <w:right w:val="single" w:color="auto" w:sz="4" w:space="0"/>
            </w:tcBorders>
            <w:vAlign w:val="center"/>
          </w:tcPr>
          <w:p w14:paraId="01F832D1">
            <w:pPr>
              <w:jc w:val="center"/>
              <w:rPr>
                <w:rFonts w:ascii="宋体" w:hAnsi="宋体"/>
                <w:b/>
                <w:bCs/>
                <w:snapToGrid w:val="0"/>
                <w:kern w:val="28"/>
                <w:sz w:val="32"/>
              </w:rPr>
            </w:pPr>
            <w:r>
              <w:rPr>
                <w:rFonts w:hint="eastAsia" w:ascii="宋体" w:hAnsi="宋体"/>
                <w:b/>
                <w:bCs/>
                <w:snapToGrid w:val="0"/>
                <w:kern w:val="28"/>
                <w:sz w:val="32"/>
              </w:rPr>
              <w:t>开户银行</w:t>
            </w:r>
          </w:p>
        </w:tc>
        <w:tc>
          <w:tcPr>
            <w:tcW w:w="7743" w:type="dxa"/>
            <w:tcBorders>
              <w:top w:val="single" w:color="auto" w:sz="4" w:space="0"/>
              <w:left w:val="single" w:color="auto" w:sz="4" w:space="0"/>
              <w:bottom w:val="single" w:color="auto" w:sz="4" w:space="0"/>
              <w:right w:val="single" w:color="auto" w:sz="4" w:space="0"/>
            </w:tcBorders>
            <w:vAlign w:val="center"/>
          </w:tcPr>
          <w:p w14:paraId="717FC301">
            <w:pPr>
              <w:jc w:val="center"/>
              <w:rPr>
                <w:rFonts w:ascii="宋体" w:hAnsi="宋体"/>
                <w:b/>
                <w:bCs/>
                <w:snapToGrid w:val="0"/>
                <w:kern w:val="28"/>
                <w:sz w:val="32"/>
              </w:rPr>
            </w:pPr>
            <w:r>
              <w:rPr>
                <w:rFonts w:hint="eastAsia" w:ascii="宋体" w:hAnsi="宋体"/>
                <w:b/>
                <w:bCs/>
                <w:snapToGrid w:val="0"/>
                <w:kern w:val="28"/>
                <w:sz w:val="32"/>
              </w:rPr>
              <w:t>建行黄石胜阳港支行</w:t>
            </w:r>
          </w:p>
        </w:tc>
      </w:tr>
    </w:tbl>
    <w:p w14:paraId="5903DA35">
      <w:pPr>
        <w:spacing w:line="360" w:lineRule="auto"/>
        <w:jc w:val="center"/>
        <w:rPr>
          <w:rFonts w:ascii="宋体" w:hAnsi="宋体"/>
          <w:b/>
          <w:sz w:val="32"/>
          <w:szCs w:val="32"/>
        </w:rPr>
      </w:pPr>
    </w:p>
    <w:p w14:paraId="2B0961FB">
      <w:pPr>
        <w:spacing w:line="360" w:lineRule="auto"/>
        <w:jc w:val="center"/>
        <w:rPr>
          <w:rFonts w:ascii="宋体" w:hAnsi="宋体"/>
          <w:b/>
          <w:sz w:val="32"/>
          <w:szCs w:val="32"/>
        </w:rPr>
      </w:pPr>
      <w:r>
        <w:rPr>
          <w:rFonts w:ascii="宋体" w:hAnsi="宋体"/>
          <w:b/>
          <w:sz w:val="32"/>
          <w:szCs w:val="32"/>
        </w:rPr>
        <w:t>保证金回执</w:t>
      </w:r>
    </w:p>
    <w:p w14:paraId="19A5C1B1">
      <w:pPr>
        <w:spacing w:line="360" w:lineRule="auto"/>
        <w:jc w:val="center"/>
        <w:rPr>
          <w:rFonts w:ascii="宋体" w:hAnsi="宋体"/>
          <w:b/>
          <w:sz w:val="32"/>
          <w:szCs w:val="32"/>
        </w:rPr>
      </w:pPr>
      <w:r>
        <w:rPr>
          <w:rFonts w:ascii="宋体" w:hAnsi="宋体"/>
          <w:b/>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235065" cy="3968750"/>
                <wp:effectExtent l="12700" t="12700" r="15875" b="26670"/>
                <wp:wrapNone/>
                <wp:docPr id="3" name="矩形 3"/>
                <wp:cNvGraphicFramePr/>
                <a:graphic xmlns:a="http://schemas.openxmlformats.org/drawingml/2006/main">
                  <a:graphicData uri="http://schemas.microsoft.com/office/word/2010/wordprocessingShape">
                    <wps:wsp>
                      <wps:cNvSpPr/>
                      <wps:spPr>
                        <a:xfrm>
                          <a:off x="0" y="0"/>
                          <a:ext cx="6235065"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5pt;margin-top:8.4pt;height:312.5pt;width:490.95pt;z-index:251660288;v-text-anchor:middle;mso-width-relative:page;mso-height-relative:page;" fillcolor="#FFFFFF [3212]" filled="t" stroked="t" coordsize="21600,21600" o:gfxdata="UEsDBAoAAAAAAIdO4kAAAAAAAAAAAAAAAAAEAAAAZHJzL1BLAwQUAAAACACHTuJA1ZxjpNgAAAAJ&#10;AQAADwAAAGRycy9kb3ducmV2LnhtbE2PzU7DMBCE70i8g7VI3FonUXFLiNNDJS5U4qeg9urGixMR&#10;r6PYbcrbs5zgtrszmv2mWl98L844xi6QhnyegUBqgu3Iafh4f5ytQMRkyJo+EGr4xgjr+vqqMqUN&#10;E73heZec4BCKpdHQpjSUUsamRW/iPAxIrH2G0ZvE6+ikHc3E4b6XRZYp6U1H/KE1A25abL52J6/B&#10;2Wd8er2bVLF1B7Ut9i8bGqXWtzd59gAi4SX9meEXn9GhZqZjOJGNotcwW+bs5LviBqzfLxc8HDWo&#10;Rb4CWVfyf4P6B1BLAwQUAAAACACHTuJAYk553HUCAAD/BAAADgAAAGRycy9lMm9Eb2MueG1srVTN&#10;btswDL4P2DsIuq92fpylQZ0iaJBhQLEG6IadFVmKDehvlBKne5kBu+0h9jjDXmOU7CZpt0MP80Em&#10;RYrU95HU1fVBK7IX4BtrSjq4yCkRhtuqMduSfvq4ejOlxAdmKqasESV9EJ5ez1+/umrdTAxtbVUl&#10;gGAQ42etK2kdgptlmee10MxfWCcMGqUFzQKqsM0qYC1G1yob5vkkay1UDiwX3uPusjPSPiK8JKCV&#10;suFiaflOCxO6qCAUCwjJ143zdJ5uK6Xg4U5KLwJRJUWkIa2YBOVNXLP5FZttgbm64f0V2Euu8AyT&#10;Zo3BpMdQSxYY2UHzVyjdcLDeynDBrc46IIkRRDHIn3FzXzMnEhak2rsj6f7/heUf9msgTVXSESWG&#10;aSz4728/fv38TkaRm9b5GbrcuzX0mkcxAj1I0PGPEMgh8flw5FMcAuG4ORmOinxSUMLRNrqcTKfT&#10;IkbNTscd+PBOWE2iUFLAgiUe2f7Wh8710SVm81Y11apRKimw3dwoIHuGxV2lr4/+xE0Z0pZ0WIxz&#10;LDpn2LISWwVF7RC2N1tKmNriLPAAKfeT0/48yWhaLKeLzqlmlehSFzl+j5k794TxSZyIYsl83R1J&#10;pv6IMugdie6ojdLGVg9YFrBdv3rHVw2ev2U+rBlggyISHOFwh4tUFuHZXqKktvD1X/vRH/sGrZS0&#10;2PAI/cuOgaBEvTfYUZeD8ThOSFLGxdshKnBu2ZxbzE7fWKR9gI+F40mM/kE9ihKs/oyTvohZ0cQM&#10;x9wdyb1yE7pBxLeCi8UiueFUOBZuzb3jMXgss7GLXbCySe1wYqcnDecikd3PcBy8cz15nd6t+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VnGOk2AAAAAkBAAAPAAAAAAAAAAEAIAAAACIAAABkcnMv&#10;ZG93bnJldi54bWxQSwECFAAUAAAACACHTuJAYk553HUCAAD/BAAADgAAAAAAAAABACAAAAAnAQAA&#10;ZHJzL2Uyb0RvYy54bWxQSwUGAAAAAAYABgBZAQAADgYAAAAA&#10;">
                <v:fill on="t" focussize="0,0"/>
                <v:stroke weight="2pt" color="#385D8A [3204]" joinstyle="round"/>
                <v:imagedata o:title=""/>
                <o:lock v:ext="edit" aspectratio="f"/>
              </v:rect>
            </w:pict>
          </mc:Fallback>
        </mc:AlternateContent>
      </w:r>
    </w:p>
    <w:p w14:paraId="1FD72C30">
      <w:pPr>
        <w:spacing w:line="360" w:lineRule="auto"/>
        <w:jc w:val="center"/>
        <w:rPr>
          <w:rFonts w:ascii="宋体" w:hAnsi="宋体"/>
          <w:b/>
          <w:sz w:val="32"/>
          <w:szCs w:val="32"/>
        </w:rPr>
      </w:pPr>
    </w:p>
    <w:p w14:paraId="5E25A884">
      <w:pPr>
        <w:spacing w:line="360" w:lineRule="auto"/>
        <w:jc w:val="center"/>
        <w:rPr>
          <w:rFonts w:ascii="宋体" w:hAnsi="宋体"/>
          <w:b/>
          <w:sz w:val="32"/>
          <w:szCs w:val="32"/>
        </w:rPr>
      </w:pPr>
    </w:p>
    <w:p w14:paraId="0288A211">
      <w:pPr>
        <w:spacing w:line="360" w:lineRule="auto"/>
        <w:jc w:val="center"/>
        <w:rPr>
          <w:rFonts w:ascii="宋体" w:hAnsi="宋体"/>
          <w:b/>
          <w:sz w:val="32"/>
          <w:szCs w:val="32"/>
        </w:rPr>
      </w:pPr>
    </w:p>
    <w:p w14:paraId="617A5C1B">
      <w:pPr>
        <w:spacing w:line="360" w:lineRule="auto"/>
        <w:jc w:val="center"/>
        <w:rPr>
          <w:rFonts w:ascii="宋体" w:hAnsi="宋体"/>
          <w:b/>
          <w:sz w:val="32"/>
          <w:szCs w:val="32"/>
        </w:rPr>
      </w:pPr>
    </w:p>
    <w:p w14:paraId="6462649E">
      <w:pPr>
        <w:spacing w:line="360" w:lineRule="auto"/>
        <w:jc w:val="center"/>
        <w:rPr>
          <w:rFonts w:ascii="宋体" w:hAnsi="宋体"/>
          <w:b/>
          <w:sz w:val="32"/>
          <w:szCs w:val="32"/>
        </w:rPr>
      </w:pPr>
    </w:p>
    <w:p w14:paraId="20A7B439">
      <w:pPr>
        <w:spacing w:line="360" w:lineRule="auto"/>
        <w:jc w:val="center"/>
        <w:rPr>
          <w:rFonts w:ascii="宋体" w:hAnsi="宋体"/>
          <w:b/>
          <w:sz w:val="32"/>
          <w:szCs w:val="32"/>
        </w:rPr>
      </w:pPr>
    </w:p>
    <w:p w14:paraId="3FCD5CE2">
      <w:pPr>
        <w:spacing w:line="360" w:lineRule="auto"/>
        <w:rPr>
          <w:rFonts w:ascii="宋体" w:hAnsi="宋体"/>
          <w:b/>
          <w:sz w:val="32"/>
          <w:szCs w:val="32"/>
        </w:rPr>
      </w:pPr>
    </w:p>
    <w:p w14:paraId="70AE0AF8">
      <w:pPr>
        <w:spacing w:line="360" w:lineRule="auto"/>
        <w:rPr>
          <w:rFonts w:ascii="宋体" w:hAnsi="宋体"/>
          <w:b/>
          <w:sz w:val="32"/>
          <w:szCs w:val="32"/>
        </w:rPr>
      </w:pPr>
    </w:p>
    <w:p w14:paraId="30E094C0">
      <w:pPr>
        <w:spacing w:line="360" w:lineRule="auto"/>
        <w:rPr>
          <w:rFonts w:ascii="宋体" w:hAnsi="宋体"/>
          <w:b/>
          <w:sz w:val="32"/>
          <w:szCs w:val="32"/>
        </w:rPr>
      </w:pPr>
    </w:p>
    <w:p w14:paraId="65BBD37A">
      <w:pPr>
        <w:spacing w:line="276" w:lineRule="auto"/>
        <w:ind w:left="2386" w:leftChars="271" w:hanging="1817" w:hangingChars="649"/>
        <w:rPr>
          <w:rFonts w:ascii="宋体" w:hAnsi="宋体" w:cs="宋体"/>
          <w:sz w:val="28"/>
          <w:szCs w:val="28"/>
        </w:rPr>
      </w:pPr>
      <w:r>
        <w:rPr>
          <w:rFonts w:hint="eastAsia" w:ascii="宋体" w:hAnsi="宋体" w:cs="宋体"/>
          <w:sz w:val="28"/>
          <w:szCs w:val="28"/>
        </w:rPr>
        <w:t xml:space="preserve"> </w:t>
      </w:r>
    </w:p>
    <w:p w14:paraId="7F84ABE5">
      <w:pPr>
        <w:spacing w:line="276" w:lineRule="auto"/>
        <w:ind w:left="2386" w:leftChars="271" w:hanging="1817" w:hangingChars="649"/>
        <w:rPr>
          <w:rFonts w:ascii="宋体" w:hAnsi="宋体" w:cs="宋体"/>
          <w:sz w:val="28"/>
          <w:szCs w:val="28"/>
        </w:rPr>
      </w:pPr>
    </w:p>
    <w:p w14:paraId="6F157CAB">
      <w:pPr>
        <w:spacing w:line="276" w:lineRule="auto"/>
        <w:rPr>
          <w:rFonts w:ascii="宋体" w:hAnsi="宋体" w:cs="宋体"/>
          <w:sz w:val="28"/>
          <w:szCs w:val="28"/>
        </w:rPr>
      </w:pPr>
    </w:p>
    <w:p w14:paraId="43A449D9">
      <w:pPr>
        <w:spacing w:line="276" w:lineRule="auto"/>
        <w:rPr>
          <w:rFonts w:ascii="宋体" w:hAnsi="宋体" w:cs="宋体"/>
          <w:sz w:val="28"/>
          <w:szCs w:val="28"/>
        </w:rPr>
      </w:pPr>
    </w:p>
    <w:p w14:paraId="62F4F51E">
      <w:pPr>
        <w:spacing w:line="276" w:lineRule="auto"/>
        <w:rPr>
          <w:rFonts w:ascii="宋体" w:hAnsi="宋体" w:cs="宋体"/>
          <w:sz w:val="28"/>
          <w:szCs w:val="28"/>
        </w:rPr>
      </w:pPr>
    </w:p>
    <w:p w14:paraId="05BC0305">
      <w:pPr>
        <w:spacing w:line="276" w:lineRule="auto"/>
        <w:rPr>
          <w:rFonts w:ascii="宋体" w:hAnsi="宋体" w:cs="宋体"/>
          <w:b/>
          <w:sz w:val="28"/>
          <w:szCs w:val="28"/>
        </w:rPr>
      </w:pPr>
      <w:r>
        <w:rPr>
          <w:rFonts w:ascii="宋体" w:hAnsi="宋体" w:cs="宋体"/>
          <w:b/>
          <w:sz w:val="28"/>
          <w:szCs w:val="28"/>
        </w:rPr>
        <w:t>附件</w:t>
      </w:r>
      <w:r>
        <w:rPr>
          <w:rFonts w:hint="eastAsia" w:ascii="宋体" w:hAnsi="宋体" w:cs="宋体"/>
          <w:b/>
          <w:sz w:val="28"/>
          <w:szCs w:val="28"/>
        </w:rPr>
        <w:t>2</w:t>
      </w:r>
    </w:p>
    <w:p w14:paraId="7B0BDF14">
      <w:pPr>
        <w:spacing w:line="360" w:lineRule="auto"/>
        <w:ind w:firstLine="4819" w:firstLineChars="1500"/>
        <w:rPr>
          <w:rFonts w:ascii="宋体" w:hAnsi="宋体"/>
          <w:b/>
          <w:sz w:val="32"/>
          <w:szCs w:val="32"/>
        </w:rPr>
      </w:pPr>
      <w:r>
        <w:rPr>
          <w:rFonts w:hint="eastAsia" w:ascii="宋体" w:hAnsi="宋体"/>
          <w:b/>
          <w:sz w:val="32"/>
          <w:szCs w:val="32"/>
        </w:rPr>
        <w:t>承诺书</w:t>
      </w:r>
    </w:p>
    <w:p w14:paraId="431AC36D">
      <w:pPr>
        <w:spacing w:line="360" w:lineRule="auto"/>
        <w:jc w:val="left"/>
        <w:rPr>
          <w:rFonts w:ascii="宋体" w:hAnsi="宋体"/>
          <w:sz w:val="28"/>
          <w:szCs w:val="28"/>
        </w:rPr>
      </w:pPr>
      <w:r>
        <w:rPr>
          <w:rFonts w:hint="eastAsia" w:ascii="宋体" w:hAnsi="宋体"/>
          <w:sz w:val="28"/>
          <w:szCs w:val="28"/>
        </w:rPr>
        <w:t>华新建材集团股份有限公司：</w:t>
      </w:r>
    </w:p>
    <w:p w14:paraId="6D5B7A7A">
      <w:pPr>
        <w:spacing w:line="360" w:lineRule="auto"/>
        <w:ind w:left="2" w:firstLine="417" w:firstLineChars="149"/>
        <w:jc w:val="left"/>
        <w:rPr>
          <w:rFonts w:ascii="宋体" w:hAnsi="宋体"/>
          <w:sz w:val="28"/>
          <w:szCs w:val="28"/>
          <w:u w:val="single"/>
        </w:rPr>
      </w:pPr>
      <w:r>
        <w:rPr>
          <w:rFonts w:hint="eastAsia" w:ascii="宋体" w:hAnsi="宋体"/>
          <w:sz w:val="28"/>
          <w:szCs w:val="28"/>
        </w:rPr>
        <w:t>经仔细阅读和研究贵公司</w:t>
      </w:r>
      <w:r>
        <w:rPr>
          <w:rFonts w:hint="eastAsia" w:ascii="宋体" w:hAnsi="宋体"/>
          <w:sz w:val="28"/>
          <w:szCs w:val="28"/>
          <w:u w:val="single"/>
        </w:rPr>
        <w:t xml:space="preserve">   烟煤   </w:t>
      </w:r>
      <w:r>
        <w:rPr>
          <w:rFonts w:hint="eastAsia" w:ascii="宋体" w:hAnsi="宋体"/>
          <w:sz w:val="28"/>
          <w:szCs w:val="28"/>
        </w:rPr>
        <w:t xml:space="preserve"> 招选项目文件，我方</w:t>
      </w:r>
      <w:r>
        <w:rPr>
          <w:rFonts w:hint="eastAsia" w:ascii="宋体" w:hAnsi="宋体"/>
          <w:sz w:val="28"/>
          <w:szCs w:val="28"/>
          <w:u w:val="single"/>
        </w:rPr>
        <w:t xml:space="preserve">  </w:t>
      </w:r>
      <w:r>
        <w:rPr>
          <w:rFonts w:hint="eastAsia" w:ascii="宋体" w:hAnsi="宋体"/>
          <w:b/>
          <w:sz w:val="28"/>
          <w:szCs w:val="28"/>
          <w:u w:val="single"/>
        </w:rPr>
        <w:t xml:space="preserve">  </w:t>
      </w:r>
      <w:r>
        <w:rPr>
          <w:rFonts w:hint="eastAsia" w:ascii="宋体" w:hAnsi="宋体"/>
          <w:sz w:val="28"/>
          <w:szCs w:val="28"/>
          <w:u w:val="single"/>
        </w:rPr>
        <w:t xml:space="preserve">         </w:t>
      </w:r>
    </w:p>
    <w:p w14:paraId="03008BB0">
      <w:pPr>
        <w:spacing w:line="360" w:lineRule="auto"/>
        <w:ind w:left="2" w:hanging="2"/>
        <w:jc w:val="lef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公司完全接受贵公司全部招选条件，对贵公司招选方式无异议，决定参加应选，我方承诺：</w:t>
      </w:r>
    </w:p>
    <w:p w14:paraId="50C49217">
      <w:pPr>
        <w:spacing w:line="360" w:lineRule="auto"/>
        <w:ind w:firstLine="560" w:firstLineChars="200"/>
        <w:jc w:val="left"/>
        <w:rPr>
          <w:rFonts w:ascii="宋体" w:hAnsi="宋体"/>
          <w:sz w:val="28"/>
          <w:szCs w:val="28"/>
        </w:rPr>
      </w:pPr>
      <w:r>
        <w:rPr>
          <w:rFonts w:hint="eastAsia" w:ascii="宋体" w:hAnsi="宋体"/>
          <w:sz w:val="28"/>
          <w:szCs w:val="28"/>
        </w:rPr>
        <w:t>1、应选书中所有资料真实、有效。</w:t>
      </w:r>
    </w:p>
    <w:p w14:paraId="144AD0BC">
      <w:pPr>
        <w:spacing w:line="360" w:lineRule="auto"/>
        <w:ind w:firstLine="560" w:firstLineChars="200"/>
        <w:jc w:val="left"/>
        <w:rPr>
          <w:rFonts w:ascii="宋体" w:hAnsi="宋体"/>
          <w:sz w:val="28"/>
          <w:szCs w:val="28"/>
        </w:rPr>
      </w:pPr>
      <w:r>
        <w:rPr>
          <w:rFonts w:hint="eastAsia" w:ascii="宋体" w:hAnsi="宋体"/>
          <w:sz w:val="28"/>
          <w:szCs w:val="28"/>
        </w:rPr>
        <w:t>2、按照招选文件提供符合要求的货物并有能力为贵公司提供所需的优质服务。</w:t>
      </w:r>
    </w:p>
    <w:p w14:paraId="24F874CE">
      <w:pPr>
        <w:spacing w:line="360" w:lineRule="auto"/>
        <w:ind w:firstLine="560" w:firstLineChars="200"/>
        <w:jc w:val="left"/>
        <w:rPr>
          <w:rFonts w:ascii="宋体" w:hAnsi="宋体"/>
          <w:sz w:val="28"/>
          <w:szCs w:val="28"/>
        </w:rPr>
      </w:pPr>
      <w:r>
        <w:rPr>
          <w:rFonts w:hint="eastAsia" w:ascii="宋体" w:hAnsi="宋体"/>
          <w:sz w:val="28"/>
          <w:szCs w:val="28"/>
        </w:rPr>
        <w:t>3、对所供货物承担全部质量责任，对任何环节出现的与货物制造和交货有关的质量问题，我公司及时进行退货或换货并承担因此造成的直接经济损失。</w:t>
      </w:r>
    </w:p>
    <w:p w14:paraId="2EDC82C7">
      <w:pPr>
        <w:spacing w:line="360" w:lineRule="auto"/>
        <w:ind w:firstLine="560" w:firstLineChars="200"/>
        <w:jc w:val="left"/>
        <w:rPr>
          <w:rFonts w:ascii="宋体" w:hAnsi="宋体"/>
          <w:sz w:val="28"/>
          <w:szCs w:val="28"/>
        </w:rPr>
      </w:pPr>
      <w:r>
        <w:rPr>
          <w:rFonts w:hint="eastAsia" w:ascii="宋体" w:hAnsi="宋体"/>
          <w:sz w:val="28"/>
          <w:szCs w:val="28"/>
        </w:rPr>
        <w:t>4、中选后对合同的完成承担全部经济责任和义务。</w:t>
      </w:r>
    </w:p>
    <w:p w14:paraId="06C103B7">
      <w:pPr>
        <w:spacing w:line="360" w:lineRule="auto"/>
        <w:ind w:firstLine="560" w:firstLineChars="200"/>
        <w:jc w:val="left"/>
        <w:rPr>
          <w:rFonts w:ascii="宋体" w:hAnsi="宋体"/>
          <w:sz w:val="28"/>
          <w:szCs w:val="28"/>
        </w:rPr>
      </w:pPr>
      <w:r>
        <w:rPr>
          <w:rFonts w:hint="eastAsia" w:ascii="宋体" w:hAnsi="宋体"/>
          <w:sz w:val="28"/>
          <w:szCs w:val="28"/>
        </w:rPr>
        <w:t>5、不因我方资金原因影响供货。</w:t>
      </w:r>
    </w:p>
    <w:p w14:paraId="03001435">
      <w:pPr>
        <w:spacing w:line="360" w:lineRule="auto"/>
        <w:ind w:firstLine="560" w:firstLineChars="200"/>
        <w:jc w:val="left"/>
        <w:rPr>
          <w:rFonts w:ascii="宋体" w:hAnsi="宋体"/>
          <w:sz w:val="28"/>
          <w:szCs w:val="28"/>
        </w:rPr>
      </w:pPr>
      <w:r>
        <w:rPr>
          <w:rFonts w:hint="eastAsia" w:ascii="宋体" w:hAnsi="宋体"/>
          <w:sz w:val="28"/>
          <w:szCs w:val="28"/>
        </w:rPr>
        <w:t>6、付款方式：100%承兑</w:t>
      </w:r>
    </w:p>
    <w:p w14:paraId="60BB76CF">
      <w:pPr>
        <w:spacing w:line="360" w:lineRule="auto"/>
        <w:ind w:firstLine="3827" w:firstLineChars="1367"/>
        <w:jc w:val="left"/>
        <w:rPr>
          <w:rFonts w:ascii="宋体" w:hAnsi="宋体"/>
          <w:sz w:val="28"/>
          <w:szCs w:val="28"/>
        </w:rPr>
      </w:pPr>
    </w:p>
    <w:p w14:paraId="15EE81BE">
      <w:pPr>
        <w:spacing w:line="360" w:lineRule="auto"/>
        <w:ind w:firstLine="3827" w:firstLineChars="1367"/>
        <w:jc w:val="left"/>
        <w:rPr>
          <w:rFonts w:ascii="宋体" w:hAnsi="宋体"/>
          <w:sz w:val="28"/>
          <w:szCs w:val="28"/>
        </w:rPr>
      </w:pPr>
      <w:r>
        <w:rPr>
          <w:rFonts w:hint="eastAsia" w:ascii="宋体" w:hAnsi="宋体"/>
          <w:sz w:val="28"/>
          <w:szCs w:val="28"/>
        </w:rPr>
        <w:t>应选人（公章）：</w:t>
      </w:r>
    </w:p>
    <w:p w14:paraId="5F46FEB1">
      <w:pPr>
        <w:spacing w:line="360" w:lineRule="auto"/>
        <w:ind w:firstLine="3827" w:firstLineChars="1367"/>
        <w:jc w:val="left"/>
        <w:rPr>
          <w:rFonts w:ascii="宋体" w:hAnsi="宋体"/>
          <w:sz w:val="28"/>
          <w:szCs w:val="28"/>
        </w:rPr>
      </w:pPr>
      <w:r>
        <w:rPr>
          <w:rFonts w:hint="eastAsia" w:ascii="宋体" w:hAnsi="宋体"/>
          <w:sz w:val="28"/>
          <w:szCs w:val="28"/>
        </w:rPr>
        <w:t>代表人：</w:t>
      </w:r>
    </w:p>
    <w:p w14:paraId="762CA738">
      <w:pPr>
        <w:spacing w:line="360" w:lineRule="auto"/>
        <w:ind w:firstLine="3827" w:firstLineChars="1367"/>
        <w:jc w:val="left"/>
        <w:rPr>
          <w:rFonts w:ascii="宋体" w:hAnsi="宋体"/>
          <w:sz w:val="28"/>
          <w:szCs w:val="28"/>
        </w:rPr>
      </w:pPr>
      <w:r>
        <w:rPr>
          <w:rFonts w:hint="eastAsia" w:ascii="宋体" w:hAnsi="宋体"/>
          <w:sz w:val="28"/>
          <w:szCs w:val="28"/>
        </w:rPr>
        <w:t>电话：</w:t>
      </w:r>
    </w:p>
    <w:p w14:paraId="40CAE3CE">
      <w:pPr>
        <w:spacing w:line="480" w:lineRule="exact"/>
        <w:ind w:firstLine="3827" w:firstLineChars="1367"/>
        <w:jc w:val="left"/>
        <w:rPr>
          <w:rFonts w:ascii="宋体" w:hAnsi="宋体"/>
          <w:sz w:val="28"/>
          <w:szCs w:val="28"/>
        </w:rPr>
      </w:pPr>
      <w:r>
        <w:rPr>
          <w:rFonts w:hint="eastAsia" w:ascii="宋体" w:hAnsi="宋体"/>
          <w:sz w:val="28"/>
          <w:szCs w:val="28"/>
        </w:rPr>
        <w:t>日期：</w:t>
      </w:r>
      <w:r>
        <w:rPr>
          <w:rFonts w:hint="eastAsia" w:ascii="宋体" w:hAnsi="宋体"/>
          <w:b/>
          <w:sz w:val="28"/>
          <w:szCs w:val="28"/>
        </w:rPr>
        <w:t xml:space="preserve"> </w:t>
      </w:r>
    </w:p>
    <w:p w14:paraId="326A3BEC">
      <w:pPr>
        <w:spacing w:line="360" w:lineRule="auto"/>
        <w:rPr>
          <w:rFonts w:ascii="宋体" w:hAnsi="宋体"/>
          <w:b/>
          <w:sz w:val="28"/>
        </w:rPr>
      </w:pPr>
    </w:p>
    <w:p w14:paraId="4EF7B2DD">
      <w:pPr>
        <w:spacing w:line="360" w:lineRule="auto"/>
        <w:rPr>
          <w:rFonts w:ascii="宋体" w:hAnsi="宋体"/>
          <w:b/>
          <w:sz w:val="28"/>
        </w:rPr>
      </w:pPr>
    </w:p>
    <w:p w14:paraId="1631280E">
      <w:pPr>
        <w:spacing w:line="360" w:lineRule="auto"/>
        <w:rPr>
          <w:rFonts w:hint="eastAsia" w:ascii="宋体" w:hAnsi="宋体"/>
          <w:b/>
          <w:sz w:val="28"/>
        </w:rPr>
      </w:pPr>
    </w:p>
    <w:p w14:paraId="53B54263">
      <w:pPr>
        <w:spacing w:line="360" w:lineRule="auto"/>
        <w:rPr>
          <w:rFonts w:hint="eastAsia" w:ascii="宋体" w:hAnsi="宋体"/>
          <w:b/>
          <w:sz w:val="28"/>
        </w:rPr>
      </w:pPr>
    </w:p>
    <w:p w14:paraId="254BF2A3">
      <w:pPr>
        <w:spacing w:line="360" w:lineRule="auto"/>
        <w:rPr>
          <w:rFonts w:hint="eastAsia" w:ascii="宋体" w:hAnsi="宋体"/>
          <w:b/>
          <w:sz w:val="28"/>
        </w:rPr>
      </w:pPr>
    </w:p>
    <w:p w14:paraId="08B0BDEA">
      <w:pPr>
        <w:spacing w:line="360" w:lineRule="auto"/>
        <w:rPr>
          <w:rFonts w:ascii="宋体" w:hAnsi="宋体"/>
          <w:b/>
          <w:sz w:val="28"/>
        </w:rPr>
      </w:pPr>
    </w:p>
    <w:p w14:paraId="454AED48">
      <w:pPr>
        <w:spacing w:line="360" w:lineRule="auto"/>
        <w:rPr>
          <w:rFonts w:ascii="宋体" w:hAnsi="宋体"/>
          <w:b/>
          <w:sz w:val="28"/>
        </w:rPr>
      </w:pPr>
      <w:r>
        <w:rPr>
          <w:rFonts w:ascii="宋体" w:hAnsi="宋体"/>
          <w:b/>
          <w:sz w:val="28"/>
        </w:rPr>
        <w:t>附件</w:t>
      </w:r>
      <w:r>
        <w:rPr>
          <w:rFonts w:hint="eastAsia" w:ascii="宋体" w:hAnsi="宋体"/>
          <w:b/>
          <w:sz w:val="28"/>
        </w:rPr>
        <w:t>3</w:t>
      </w:r>
    </w:p>
    <w:p w14:paraId="2ED0205D">
      <w:pPr>
        <w:spacing w:line="360" w:lineRule="auto"/>
        <w:jc w:val="center"/>
        <w:rPr>
          <w:rFonts w:ascii="宋体" w:hAnsi="宋体"/>
          <w:b/>
          <w:sz w:val="28"/>
        </w:rPr>
      </w:pPr>
      <w:r>
        <w:rPr>
          <w:rFonts w:hint="eastAsia" w:ascii="宋体" w:hAnsi="宋体"/>
          <w:b/>
          <w:sz w:val="32"/>
        </w:rPr>
        <w:t>法人授权委托书</w:t>
      </w:r>
    </w:p>
    <w:p w14:paraId="4A18EF62">
      <w:pPr>
        <w:spacing w:line="360" w:lineRule="auto"/>
        <w:jc w:val="left"/>
        <w:rPr>
          <w:rFonts w:ascii="宋体" w:hAnsi="宋体"/>
          <w:sz w:val="28"/>
          <w:szCs w:val="28"/>
        </w:rPr>
      </w:pPr>
      <w:r>
        <w:rPr>
          <w:rFonts w:hint="eastAsia" w:ascii="宋体" w:hAnsi="宋体"/>
          <w:sz w:val="28"/>
          <w:szCs w:val="28"/>
        </w:rPr>
        <w:t>华新建材集团股份有限公司：</w:t>
      </w:r>
    </w:p>
    <w:p w14:paraId="6BBA9C89">
      <w:pPr>
        <w:spacing w:line="480" w:lineRule="exact"/>
        <w:ind w:firstLine="660" w:firstLineChars="236"/>
        <w:rPr>
          <w:rFonts w:ascii="宋体" w:hAnsi="宋体" w:cs="宋体"/>
          <w:kern w:val="0"/>
          <w:sz w:val="28"/>
          <w:szCs w:val="28"/>
        </w:rPr>
      </w:pPr>
      <w:r>
        <w:rPr>
          <w:rFonts w:hint="eastAsia" w:ascii="宋体" w:hAnsi="宋体" w:cs="宋体"/>
          <w:kern w:val="0"/>
          <w:sz w:val="28"/>
          <w:szCs w:val="28"/>
        </w:rPr>
        <w:t xml:space="preserve">我公司法定代表人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，特授权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14:paraId="2256863E">
      <w:pPr>
        <w:spacing w:line="480" w:lineRule="exact"/>
        <w:ind w:firstLine="560" w:firstLineChars="200"/>
        <w:rPr>
          <w:rFonts w:ascii="宋体" w:hAnsi="宋体" w:cs="宋体"/>
          <w:kern w:val="0"/>
          <w:sz w:val="28"/>
          <w:szCs w:val="28"/>
        </w:rPr>
      </w:pPr>
      <w:r>
        <w:rPr>
          <w:rFonts w:hint="eastAsia" w:ascii="宋体" w:hAnsi="宋体" w:cs="宋体"/>
          <w:kern w:val="0"/>
          <w:sz w:val="28"/>
          <w:szCs w:val="28"/>
        </w:rPr>
        <w:t>特此授权！</w:t>
      </w:r>
    </w:p>
    <w:p w14:paraId="263346F3">
      <w:pPr>
        <w:spacing w:line="276" w:lineRule="auto"/>
        <w:ind w:left="2125" w:leftChars="1012"/>
        <w:rPr>
          <w:rFonts w:ascii="宋体" w:hAnsi="宋体" w:cs="宋体"/>
          <w:kern w:val="0"/>
          <w:sz w:val="28"/>
          <w:szCs w:val="28"/>
        </w:rPr>
      </w:pPr>
      <w:r>
        <w:rPr>
          <w:rFonts w:hint="eastAsia" w:ascii="宋体" w:hAnsi="宋体" w:cs="宋体"/>
          <w:kern w:val="0"/>
          <w:sz w:val="28"/>
          <w:szCs w:val="28"/>
        </w:rPr>
        <w:t>应选单位（公章）：</w:t>
      </w:r>
    </w:p>
    <w:p w14:paraId="04742207">
      <w:pPr>
        <w:spacing w:line="276" w:lineRule="auto"/>
        <w:ind w:left="2125" w:leftChars="1012"/>
        <w:rPr>
          <w:rFonts w:ascii="宋体" w:hAnsi="宋体" w:cs="宋体"/>
          <w:kern w:val="0"/>
          <w:sz w:val="28"/>
          <w:szCs w:val="28"/>
        </w:rPr>
      </w:pPr>
      <w:r>
        <w:rPr>
          <w:rFonts w:hint="eastAsia" w:ascii="宋体" w:hAnsi="宋体" w:cs="宋体"/>
          <w:kern w:val="0"/>
          <w:sz w:val="28"/>
          <w:szCs w:val="28"/>
        </w:rPr>
        <w:t>单位地址：</w:t>
      </w:r>
    </w:p>
    <w:p w14:paraId="5C0202D1">
      <w:pPr>
        <w:spacing w:line="276" w:lineRule="auto"/>
        <w:ind w:left="2125" w:leftChars="1012"/>
        <w:rPr>
          <w:rFonts w:ascii="宋体" w:hAnsi="宋体" w:cs="宋体"/>
          <w:kern w:val="0"/>
          <w:sz w:val="28"/>
          <w:szCs w:val="28"/>
        </w:rPr>
      </w:pPr>
      <w:r>
        <w:rPr>
          <w:rFonts w:hint="eastAsia" w:ascii="宋体" w:hAnsi="宋体" w:cs="宋体"/>
          <w:kern w:val="0"/>
          <w:sz w:val="28"/>
          <w:szCs w:val="28"/>
        </w:rPr>
        <w:t>开户银行名称：</w:t>
      </w:r>
    </w:p>
    <w:p w14:paraId="2D81016A">
      <w:pPr>
        <w:spacing w:line="276" w:lineRule="auto"/>
        <w:ind w:left="2125" w:leftChars="1012"/>
        <w:rPr>
          <w:rFonts w:ascii="宋体" w:hAnsi="宋体" w:cs="宋体"/>
          <w:kern w:val="0"/>
          <w:sz w:val="28"/>
          <w:szCs w:val="28"/>
        </w:rPr>
      </w:pPr>
      <w:r>
        <w:rPr>
          <w:rFonts w:hint="eastAsia" w:ascii="宋体" w:hAnsi="宋体" w:cs="宋体"/>
          <w:kern w:val="0"/>
          <w:sz w:val="28"/>
          <w:szCs w:val="28"/>
        </w:rPr>
        <w:t>银行帐号：</w:t>
      </w:r>
    </w:p>
    <w:p w14:paraId="31C8C481">
      <w:pPr>
        <w:spacing w:line="276" w:lineRule="auto"/>
        <w:ind w:left="2125" w:leftChars="1012"/>
        <w:rPr>
          <w:rFonts w:ascii="宋体" w:hAnsi="宋体" w:cs="宋体"/>
          <w:kern w:val="0"/>
          <w:sz w:val="28"/>
          <w:szCs w:val="28"/>
        </w:rPr>
      </w:pPr>
      <w:r>
        <w:rPr>
          <w:rFonts w:hint="eastAsia" w:ascii="宋体" w:hAnsi="宋体" w:cs="宋体"/>
          <w:kern w:val="0"/>
          <w:sz w:val="28"/>
          <w:szCs w:val="28"/>
        </w:rPr>
        <w:t>税号：</w:t>
      </w:r>
    </w:p>
    <w:p w14:paraId="5197D366">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法定代表人（签名盖章）：</w:t>
      </w:r>
      <w:r>
        <w:rPr>
          <w:rFonts w:hint="eastAsia" w:ascii="宋体" w:hAnsi="宋体" w:cs="宋体"/>
          <w:kern w:val="0"/>
          <w:sz w:val="28"/>
          <w:szCs w:val="28"/>
          <w:u w:val="single"/>
        </w:rPr>
        <w:t xml:space="preserve">                       </w:t>
      </w:r>
    </w:p>
    <w:p w14:paraId="1B57A353">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授权日期：</w:t>
      </w:r>
      <w:r>
        <w:rPr>
          <w:rFonts w:hint="eastAsia" w:ascii="宋体" w:hAnsi="宋体" w:cs="宋体"/>
          <w:kern w:val="0"/>
          <w:sz w:val="28"/>
          <w:szCs w:val="28"/>
          <w:u w:val="single"/>
        </w:rPr>
        <w:t xml:space="preserve">                                     </w:t>
      </w:r>
    </w:p>
    <w:p w14:paraId="786F800C">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委托代理人（签名盖章）：</w:t>
      </w:r>
      <w:r>
        <w:rPr>
          <w:rFonts w:hint="eastAsia" w:ascii="宋体" w:hAnsi="宋体" w:cs="宋体"/>
          <w:kern w:val="0"/>
          <w:sz w:val="28"/>
          <w:szCs w:val="28"/>
          <w:u w:val="single"/>
        </w:rPr>
        <w:t xml:space="preserve">                       </w:t>
      </w:r>
    </w:p>
    <w:p w14:paraId="125858CE">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受托日期：</w:t>
      </w:r>
      <w:r>
        <w:rPr>
          <w:rFonts w:hint="eastAsia" w:ascii="宋体" w:hAnsi="宋体" w:cs="宋体"/>
          <w:kern w:val="0"/>
          <w:sz w:val="28"/>
          <w:szCs w:val="28"/>
          <w:u w:val="single"/>
        </w:rPr>
        <w:t xml:space="preserve">                                     </w:t>
      </w:r>
    </w:p>
    <w:p w14:paraId="4238467E">
      <w:pPr>
        <w:spacing w:line="276" w:lineRule="auto"/>
        <w:ind w:left="2386" w:leftChars="271" w:hanging="1817" w:hangingChars="649"/>
        <w:rPr>
          <w:rFonts w:ascii="宋体" w:hAnsi="宋体" w:cs="宋体"/>
          <w:kern w:val="0"/>
          <w:sz w:val="28"/>
          <w:szCs w:val="28"/>
        </w:rPr>
      </w:pPr>
    </w:p>
    <w:p w14:paraId="7A3A8469">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委托代理人资料：   </w:t>
      </w:r>
    </w:p>
    <w:p w14:paraId="278E7364">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姓名： </w:t>
      </w:r>
      <w:r>
        <w:rPr>
          <w:rFonts w:hint="eastAsia" w:ascii="宋体" w:hAnsi="宋体" w:cs="宋体"/>
          <w:kern w:val="0"/>
          <w:sz w:val="28"/>
          <w:szCs w:val="28"/>
          <w:u w:val="single"/>
        </w:rPr>
        <w:t xml:space="preserve">                                    </w:t>
      </w:r>
    </w:p>
    <w:p w14:paraId="67A175CF">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性别：</w:t>
      </w:r>
      <w:r>
        <w:rPr>
          <w:rFonts w:hint="eastAsia" w:ascii="宋体" w:hAnsi="宋体" w:cs="宋体"/>
          <w:kern w:val="0"/>
          <w:sz w:val="28"/>
          <w:szCs w:val="28"/>
          <w:u w:val="single"/>
        </w:rPr>
        <w:t xml:space="preserve">                                     </w:t>
      </w:r>
    </w:p>
    <w:p w14:paraId="6C4D572E">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职务： </w:t>
      </w:r>
      <w:r>
        <w:rPr>
          <w:rFonts w:hint="eastAsia" w:ascii="宋体" w:hAnsi="宋体" w:cs="宋体"/>
          <w:kern w:val="0"/>
          <w:sz w:val="28"/>
          <w:szCs w:val="28"/>
          <w:u w:val="single"/>
        </w:rPr>
        <w:t xml:space="preserve">                                    </w:t>
      </w:r>
    </w:p>
    <w:p w14:paraId="3178DF28">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电话： </w:t>
      </w:r>
      <w:r>
        <w:rPr>
          <w:rFonts w:hint="eastAsia" w:ascii="宋体" w:hAnsi="宋体" w:cs="宋体"/>
          <w:kern w:val="0"/>
          <w:sz w:val="28"/>
          <w:szCs w:val="28"/>
          <w:u w:val="single"/>
        </w:rPr>
        <w:t xml:space="preserve">                                    </w:t>
      </w:r>
    </w:p>
    <w:p w14:paraId="6C0D59C1">
      <w:pPr>
        <w:spacing w:line="276" w:lineRule="auto"/>
        <w:ind w:left="2386" w:leftChars="271" w:hanging="1817" w:hangingChars="649"/>
        <w:rPr>
          <w:rFonts w:ascii="宋体" w:hAnsi="宋体" w:cs="宋体"/>
          <w:sz w:val="28"/>
          <w:szCs w:val="28"/>
        </w:rPr>
      </w:pPr>
      <w:r>
        <w:rPr>
          <w:rFonts w:hint="eastAsia" w:ascii="宋体" w:hAnsi="宋体" w:cs="宋体"/>
          <w:kern w:val="0"/>
          <w:sz w:val="28"/>
          <w:szCs w:val="28"/>
        </w:rPr>
        <w:t>身份证号：</w:t>
      </w:r>
      <w:r>
        <w:rPr>
          <w:rFonts w:hint="eastAsia" w:ascii="宋体" w:hAnsi="宋体" w:cs="宋体"/>
          <w:kern w:val="0"/>
          <w:sz w:val="28"/>
          <w:szCs w:val="28"/>
          <w:u w:val="single"/>
        </w:rPr>
        <w:t xml:space="preserve">                                 </w:t>
      </w:r>
      <w:r>
        <w:rPr>
          <w:rFonts w:hint="eastAsia" w:ascii="宋体" w:hAnsi="宋体" w:cs="宋体"/>
          <w:sz w:val="28"/>
          <w:szCs w:val="28"/>
        </w:rPr>
        <w:t xml:space="preserve"> </w:t>
      </w:r>
    </w:p>
    <w:p w14:paraId="1AE7778E">
      <w:pPr>
        <w:spacing w:line="276" w:lineRule="auto"/>
        <w:rPr>
          <w:rFonts w:ascii="宋体" w:hAnsi="宋体" w:cs="宋体"/>
          <w:b/>
          <w:sz w:val="28"/>
          <w:szCs w:val="28"/>
        </w:rPr>
      </w:pPr>
      <w:r>
        <w:rPr>
          <w:rFonts w:hint="eastAsia" w:ascii="宋体" w:hAnsi="宋体" w:cs="宋体"/>
          <w:b/>
          <w:sz w:val="28"/>
          <w:szCs w:val="28"/>
        </w:rPr>
        <w:t>附件4</w:t>
      </w:r>
    </w:p>
    <w:p w14:paraId="2C43E1D2">
      <w:pPr>
        <w:spacing w:line="276" w:lineRule="auto"/>
        <w:rPr>
          <w:rFonts w:ascii="宋体" w:hAnsi="宋体" w:cs="宋体"/>
          <w:b/>
          <w:sz w:val="32"/>
          <w:szCs w:val="28"/>
        </w:rPr>
      </w:pPr>
      <w:r>
        <w:rPr>
          <w:rFonts w:ascii="宋体" w:hAnsi="宋体" w:cs="宋体"/>
          <w:b/>
          <w:sz w:val="32"/>
          <w:szCs w:val="28"/>
        </w:rPr>
        <w:t>注：报价时需</w:t>
      </w:r>
      <w:r>
        <w:rPr>
          <w:rFonts w:hint="eastAsia" w:ascii="宋体" w:hAnsi="宋体" w:cs="宋体"/>
          <w:b/>
          <w:sz w:val="32"/>
          <w:szCs w:val="28"/>
        </w:rPr>
        <w:t>上传加盖公章的一票结算报价表</w:t>
      </w:r>
      <w:r>
        <w:rPr>
          <w:rFonts w:ascii="宋体" w:hAnsi="宋体" w:cs="宋体"/>
          <w:b/>
          <w:sz w:val="32"/>
          <w:szCs w:val="28"/>
        </w:rPr>
        <w:t>！</w:t>
      </w:r>
    </w:p>
    <w:p w14:paraId="4B300653">
      <w:pPr>
        <w:spacing w:line="276" w:lineRule="auto"/>
        <w:rPr>
          <w:rFonts w:ascii="宋体" w:hAnsi="宋体" w:cs="宋体"/>
          <w:b/>
          <w:sz w:val="36"/>
          <w:szCs w:val="28"/>
        </w:rPr>
      </w:pPr>
      <w:r>
        <w:rPr>
          <w:rFonts w:hint="eastAsia" w:ascii="宋体" w:hAnsi="宋体" w:cs="宋体"/>
          <w:b/>
          <w:sz w:val="32"/>
          <w:szCs w:val="28"/>
        </w:rPr>
        <w:t>（</w:t>
      </w:r>
      <w:r>
        <w:rPr>
          <w:rFonts w:hint="eastAsia" w:ascii="宋体" w:hAnsi="宋体" w:cs="宋体"/>
          <w:b/>
          <w:color w:val="FF0000"/>
          <w:sz w:val="32"/>
          <w:szCs w:val="28"/>
        </w:rPr>
        <w:t>该附件在资质审核入围后报价环节再上传，应标时无需上传该附件</w:t>
      </w:r>
      <w:r>
        <w:rPr>
          <w:rFonts w:hint="eastAsia" w:ascii="宋体" w:hAnsi="宋体" w:cs="宋体"/>
          <w:b/>
          <w:sz w:val="32"/>
          <w:szCs w:val="28"/>
        </w:rPr>
        <w:t>）</w:t>
      </w:r>
    </w:p>
    <w:p w14:paraId="6F31F5EA">
      <w:pPr>
        <w:spacing w:line="276" w:lineRule="auto"/>
        <w:rPr>
          <w:rFonts w:ascii="宋体" w:hAnsi="宋体" w:cs="宋体"/>
          <w:b/>
          <w:sz w:val="28"/>
          <w:szCs w:val="28"/>
        </w:rPr>
      </w:pPr>
    </w:p>
    <w:p w14:paraId="06FC971A">
      <w:pPr>
        <w:spacing w:line="276" w:lineRule="auto"/>
        <w:rPr>
          <w:rFonts w:ascii="宋体" w:hAnsi="宋体" w:cs="宋体"/>
          <w:b/>
          <w:sz w:val="28"/>
          <w:szCs w:val="28"/>
        </w:rPr>
      </w:pPr>
    </w:p>
    <w:p w14:paraId="67215778">
      <w:pPr>
        <w:spacing w:line="276" w:lineRule="auto"/>
        <w:rPr>
          <w:rFonts w:ascii="宋体" w:hAnsi="宋体" w:cs="宋体"/>
          <w:b/>
          <w:sz w:val="28"/>
          <w:szCs w:val="28"/>
        </w:rPr>
      </w:pPr>
      <w:r>
        <w:rPr>
          <w:rFonts w:ascii="宋体" w:hAnsi="宋体" w:cs="宋体"/>
          <w:b/>
          <w:sz w:val="28"/>
          <w:szCs w:val="28"/>
        </w:rPr>
        <w:t>一票结算报价表</w:t>
      </w:r>
    </w:p>
    <w:tbl>
      <w:tblPr>
        <w:tblStyle w:val="10"/>
        <w:tblW w:w="9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1"/>
        <w:gridCol w:w="2066"/>
        <w:gridCol w:w="937"/>
        <w:gridCol w:w="3003"/>
        <w:gridCol w:w="1942"/>
      </w:tblGrid>
      <w:tr w14:paraId="0B1C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021" w:type="dxa"/>
          </w:tcPr>
          <w:p w14:paraId="46349D58">
            <w:pPr>
              <w:spacing w:line="360" w:lineRule="auto"/>
              <w:jc w:val="center"/>
              <w:rPr>
                <w:rFonts w:ascii="宋体" w:hAnsi="宋体" w:cs="宋体"/>
                <w:b/>
                <w:sz w:val="24"/>
                <w:szCs w:val="28"/>
              </w:rPr>
            </w:pPr>
            <w:r>
              <w:rPr>
                <w:rFonts w:hint="eastAsia" w:ascii="宋体" w:hAnsi="宋体" w:cs="宋体"/>
                <w:b/>
                <w:sz w:val="24"/>
                <w:szCs w:val="28"/>
              </w:rPr>
              <w:t>供应商名称</w:t>
            </w:r>
          </w:p>
        </w:tc>
        <w:tc>
          <w:tcPr>
            <w:tcW w:w="2066" w:type="dxa"/>
            <w:shd w:val="clear" w:color="auto" w:fill="auto"/>
            <w:noWrap/>
          </w:tcPr>
          <w:p w14:paraId="4E021935">
            <w:pPr>
              <w:spacing w:line="360" w:lineRule="auto"/>
              <w:jc w:val="center"/>
              <w:rPr>
                <w:rFonts w:ascii="宋体" w:hAnsi="宋体" w:cs="宋体"/>
                <w:b/>
                <w:sz w:val="24"/>
                <w:szCs w:val="28"/>
              </w:rPr>
            </w:pPr>
            <w:r>
              <w:rPr>
                <w:rFonts w:hint="eastAsia" w:ascii="宋体" w:hAnsi="宋体" w:cs="宋体"/>
                <w:b/>
                <w:sz w:val="24"/>
                <w:szCs w:val="28"/>
              </w:rPr>
              <w:t>一票到厂价</w:t>
            </w:r>
          </w:p>
        </w:tc>
        <w:tc>
          <w:tcPr>
            <w:tcW w:w="937" w:type="dxa"/>
            <w:shd w:val="clear" w:color="auto" w:fill="auto"/>
            <w:noWrap/>
          </w:tcPr>
          <w:p w14:paraId="5E53B6C1">
            <w:pPr>
              <w:spacing w:line="360" w:lineRule="auto"/>
              <w:jc w:val="center"/>
              <w:rPr>
                <w:rFonts w:ascii="宋体" w:hAnsi="宋体" w:cs="宋体"/>
                <w:b/>
                <w:sz w:val="24"/>
                <w:szCs w:val="28"/>
              </w:rPr>
            </w:pPr>
            <w:r>
              <w:rPr>
                <w:rFonts w:hint="eastAsia" w:ascii="宋体" w:hAnsi="宋体" w:cs="宋体"/>
                <w:b/>
                <w:sz w:val="24"/>
                <w:szCs w:val="28"/>
              </w:rPr>
              <w:t>税率</w:t>
            </w:r>
          </w:p>
        </w:tc>
        <w:tc>
          <w:tcPr>
            <w:tcW w:w="3003" w:type="dxa"/>
            <w:shd w:val="clear" w:color="auto" w:fill="auto"/>
            <w:noWrap/>
          </w:tcPr>
          <w:p w14:paraId="3FDB5515">
            <w:pPr>
              <w:spacing w:line="360" w:lineRule="auto"/>
              <w:jc w:val="center"/>
              <w:rPr>
                <w:rFonts w:ascii="宋体" w:hAnsi="宋体" w:cs="宋体"/>
                <w:b/>
                <w:sz w:val="24"/>
                <w:szCs w:val="28"/>
              </w:rPr>
            </w:pPr>
            <w:r>
              <w:rPr>
                <w:rFonts w:hint="eastAsia" w:ascii="宋体" w:hAnsi="宋体" w:cs="宋体"/>
                <w:b/>
                <w:sz w:val="24"/>
                <w:szCs w:val="28"/>
              </w:rPr>
              <w:t>付款条件（承兑支付比例0%、50%、100%）</w:t>
            </w:r>
          </w:p>
        </w:tc>
        <w:tc>
          <w:tcPr>
            <w:tcW w:w="1942" w:type="dxa"/>
            <w:shd w:val="clear" w:color="auto" w:fill="auto"/>
          </w:tcPr>
          <w:p w14:paraId="0960EE74">
            <w:pPr>
              <w:spacing w:line="360" w:lineRule="auto"/>
              <w:jc w:val="center"/>
              <w:rPr>
                <w:rFonts w:ascii="宋体" w:hAnsi="宋体" w:cs="宋体"/>
                <w:b/>
                <w:sz w:val="24"/>
                <w:szCs w:val="28"/>
              </w:rPr>
            </w:pPr>
            <w:r>
              <w:rPr>
                <w:rFonts w:hint="eastAsia" w:ascii="宋体" w:hAnsi="宋体" w:cs="宋体"/>
                <w:b/>
                <w:sz w:val="24"/>
                <w:szCs w:val="28"/>
              </w:rPr>
              <w:t>备注（货源等信息）</w:t>
            </w:r>
          </w:p>
        </w:tc>
      </w:tr>
      <w:tr w14:paraId="1E53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2021" w:type="dxa"/>
            <w:vAlign w:val="center"/>
          </w:tcPr>
          <w:p w14:paraId="35B8BAE5">
            <w:pPr>
              <w:spacing w:line="276" w:lineRule="auto"/>
              <w:jc w:val="center"/>
              <w:rPr>
                <w:rFonts w:ascii="宋体" w:hAnsi="宋体" w:cs="宋体"/>
                <w:b/>
                <w:sz w:val="24"/>
                <w:szCs w:val="28"/>
              </w:rPr>
            </w:pPr>
          </w:p>
        </w:tc>
        <w:tc>
          <w:tcPr>
            <w:tcW w:w="2066" w:type="dxa"/>
            <w:shd w:val="clear" w:color="auto" w:fill="auto"/>
            <w:noWrap/>
            <w:vAlign w:val="center"/>
          </w:tcPr>
          <w:p w14:paraId="0B4F1CF5">
            <w:pPr>
              <w:spacing w:line="276" w:lineRule="auto"/>
              <w:jc w:val="center"/>
              <w:rPr>
                <w:rFonts w:ascii="宋体" w:hAnsi="宋体" w:cs="宋体"/>
                <w:b/>
                <w:sz w:val="24"/>
                <w:szCs w:val="28"/>
              </w:rPr>
            </w:pPr>
          </w:p>
        </w:tc>
        <w:tc>
          <w:tcPr>
            <w:tcW w:w="937" w:type="dxa"/>
            <w:shd w:val="clear" w:color="auto" w:fill="auto"/>
            <w:noWrap/>
            <w:vAlign w:val="center"/>
          </w:tcPr>
          <w:p w14:paraId="2D019998">
            <w:pPr>
              <w:spacing w:line="276" w:lineRule="auto"/>
              <w:jc w:val="center"/>
              <w:rPr>
                <w:rFonts w:ascii="宋体" w:hAnsi="宋体" w:cs="宋体"/>
                <w:b/>
                <w:sz w:val="24"/>
                <w:szCs w:val="28"/>
              </w:rPr>
            </w:pPr>
            <w:r>
              <w:rPr>
                <w:rFonts w:hint="eastAsia" w:ascii="宋体" w:hAnsi="宋体" w:cs="宋体"/>
                <w:b/>
                <w:sz w:val="24"/>
                <w:szCs w:val="28"/>
              </w:rPr>
              <w:t>13%</w:t>
            </w:r>
          </w:p>
        </w:tc>
        <w:tc>
          <w:tcPr>
            <w:tcW w:w="3003" w:type="dxa"/>
            <w:shd w:val="clear" w:color="auto" w:fill="auto"/>
            <w:noWrap/>
            <w:vAlign w:val="center"/>
          </w:tcPr>
          <w:p w14:paraId="3DB51F60">
            <w:pPr>
              <w:spacing w:line="276" w:lineRule="auto"/>
              <w:jc w:val="center"/>
              <w:rPr>
                <w:rFonts w:ascii="宋体" w:hAnsi="宋体" w:cs="宋体"/>
                <w:b/>
                <w:sz w:val="24"/>
                <w:szCs w:val="28"/>
              </w:rPr>
            </w:pPr>
            <w:r>
              <w:rPr>
                <w:rFonts w:hint="eastAsia" w:ascii="宋体" w:hAnsi="宋体" w:cs="宋体"/>
                <w:b/>
                <w:sz w:val="24"/>
                <w:szCs w:val="28"/>
              </w:rPr>
              <w:t>100%承兑</w:t>
            </w:r>
          </w:p>
        </w:tc>
        <w:tc>
          <w:tcPr>
            <w:tcW w:w="1942" w:type="dxa"/>
            <w:shd w:val="clear" w:color="auto" w:fill="auto"/>
            <w:noWrap/>
            <w:vAlign w:val="center"/>
          </w:tcPr>
          <w:p w14:paraId="05F9C2FB">
            <w:pPr>
              <w:spacing w:line="276" w:lineRule="auto"/>
              <w:jc w:val="center"/>
              <w:rPr>
                <w:rFonts w:ascii="宋体" w:hAnsi="宋体" w:cs="宋体"/>
                <w:b/>
                <w:sz w:val="24"/>
                <w:szCs w:val="28"/>
              </w:rPr>
            </w:pPr>
          </w:p>
        </w:tc>
      </w:tr>
    </w:tbl>
    <w:p w14:paraId="4BCF872B">
      <w:pPr>
        <w:spacing w:line="276" w:lineRule="auto"/>
        <w:rPr>
          <w:rFonts w:ascii="宋体" w:hAnsi="宋体" w:cs="宋体"/>
          <w:b/>
          <w:sz w:val="28"/>
          <w:szCs w:val="28"/>
        </w:rPr>
      </w:pPr>
    </w:p>
    <w:p w14:paraId="211AC150">
      <w:pPr>
        <w:spacing w:line="276" w:lineRule="auto"/>
        <w:rPr>
          <w:rFonts w:ascii="宋体" w:hAnsi="宋体" w:cs="宋体"/>
          <w:b/>
          <w:sz w:val="36"/>
          <w:szCs w:val="28"/>
        </w:rPr>
      </w:pPr>
      <w:r>
        <w:rPr>
          <w:rFonts w:hint="eastAsia" w:ascii="宋体" w:hAnsi="宋体" w:cs="宋体"/>
          <w:b/>
          <w:sz w:val="36"/>
          <w:szCs w:val="28"/>
        </w:rPr>
        <w:t xml:space="preserve">                            </w:t>
      </w:r>
    </w:p>
    <w:p w14:paraId="48BEE3FF">
      <w:pPr>
        <w:spacing w:line="276" w:lineRule="auto"/>
        <w:rPr>
          <w:rFonts w:ascii="宋体" w:hAnsi="宋体" w:cs="宋体"/>
          <w:b/>
          <w:sz w:val="36"/>
          <w:szCs w:val="28"/>
        </w:rPr>
      </w:pPr>
    </w:p>
    <w:p w14:paraId="69FF5BB4">
      <w:pPr>
        <w:spacing w:line="276" w:lineRule="auto"/>
        <w:rPr>
          <w:rFonts w:ascii="宋体" w:hAnsi="宋体" w:cs="宋体"/>
          <w:b/>
          <w:sz w:val="36"/>
          <w:szCs w:val="28"/>
        </w:rPr>
      </w:pPr>
    </w:p>
    <w:p w14:paraId="18EFA9D2">
      <w:pPr>
        <w:spacing w:line="276" w:lineRule="auto"/>
        <w:rPr>
          <w:rFonts w:ascii="宋体" w:hAnsi="宋体" w:cs="宋体"/>
          <w:b/>
          <w:sz w:val="36"/>
          <w:szCs w:val="28"/>
        </w:rPr>
      </w:pPr>
    </w:p>
    <w:p w14:paraId="1433BA0F">
      <w:pPr>
        <w:spacing w:line="276" w:lineRule="auto"/>
        <w:ind w:firstLine="4337" w:firstLineChars="1800"/>
        <w:rPr>
          <w:rFonts w:ascii="宋体" w:hAnsi="宋体" w:cs="宋体"/>
          <w:b/>
          <w:sz w:val="24"/>
          <w:szCs w:val="28"/>
        </w:rPr>
      </w:pPr>
      <w:r>
        <w:rPr>
          <w:rFonts w:hint="eastAsia" w:ascii="宋体" w:hAnsi="宋体" w:cs="宋体"/>
          <w:b/>
          <w:sz w:val="24"/>
          <w:szCs w:val="28"/>
        </w:rPr>
        <w:t>单位名称：</w:t>
      </w:r>
    </w:p>
    <w:p w14:paraId="6131EA0B">
      <w:pPr>
        <w:spacing w:line="276" w:lineRule="auto"/>
        <w:rPr>
          <w:rFonts w:ascii="宋体" w:hAnsi="宋体" w:cs="宋体"/>
          <w:b/>
          <w:sz w:val="24"/>
          <w:szCs w:val="28"/>
        </w:rPr>
      </w:pPr>
      <w:r>
        <w:rPr>
          <w:rFonts w:hint="eastAsia" w:ascii="宋体" w:hAnsi="宋体" w:cs="宋体"/>
          <w:b/>
          <w:sz w:val="24"/>
          <w:szCs w:val="28"/>
        </w:rPr>
        <w:t xml:space="preserve">                                    日    期：     年    月   日</w:t>
      </w:r>
    </w:p>
    <w:p w14:paraId="0EFD43E6">
      <w:pPr>
        <w:spacing w:line="276" w:lineRule="auto"/>
        <w:ind w:left="2386" w:leftChars="271" w:hanging="1817" w:hangingChars="649"/>
        <w:rPr>
          <w:rFonts w:ascii="宋体" w:hAnsi="宋体" w:cs="宋体"/>
          <w:sz w:val="28"/>
          <w:szCs w:val="28"/>
        </w:rPr>
      </w:pPr>
    </w:p>
    <w:sectPr>
      <w:pgSz w:w="11906" w:h="16838"/>
      <w:pgMar w:top="1021" w:right="1021" w:bottom="1021" w:left="102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BAC2571-B32E-418D-8327-4BE867442B9F}"/>
  </w:font>
  <w:font w:name="黑体">
    <w:panose1 w:val="02010609060101010101"/>
    <w:charset w:val="86"/>
    <w:family w:val="auto"/>
    <w:pitch w:val="default"/>
    <w:sig w:usb0="800002BF" w:usb1="38CF7CFA" w:usb2="00000016" w:usb3="00000000" w:csb0="00040001" w:csb1="00000000"/>
    <w:embedRegular r:id="rId2" w:fontKey="{69C4236F-282F-4B8E-85C7-D25D716496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embedRegular r:id="rId3" w:fontKey="{A330478C-30F3-4451-8C94-E4E083E76BB4}"/>
  </w:font>
  <w:font w:name="Arial Unicode MS">
    <w:altName w:val="宋体"/>
    <w:panose1 w:val="020B0604020202020204"/>
    <w:charset w:val="86"/>
    <w:family w:val="swiss"/>
    <w:pitch w:val="default"/>
    <w:sig w:usb0="00000000" w:usb1="00000000" w:usb2="0000003F" w:usb3="00000000" w:csb0="003F01FF" w:csb1="00000000"/>
    <w:embedRegular r:id="rId4" w:fontKey="{BB28D02F-6984-4D7C-84E6-4462B69C3F15}"/>
  </w:font>
  <w:font w:name="WPSEMBED2">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B260B"/>
    <w:multiLevelType w:val="multilevel"/>
    <w:tmpl w:val="011B260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DA361AC"/>
    <w:multiLevelType w:val="multilevel"/>
    <w:tmpl w:val="0DA361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7015510"/>
    <w:multiLevelType w:val="multilevel"/>
    <w:tmpl w:val="3701551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2E607C2"/>
    <w:multiLevelType w:val="multilevel"/>
    <w:tmpl w:val="52E607C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13A1CB4"/>
    <w:multiLevelType w:val="multilevel"/>
    <w:tmpl w:val="713A1CB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9865E0E"/>
    <w:multiLevelType w:val="multilevel"/>
    <w:tmpl w:val="79865E0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EA374E0"/>
    <w:multiLevelType w:val="multilevel"/>
    <w:tmpl w:val="7EA374E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4"/>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0EA1"/>
    <w:rsid w:val="00003254"/>
    <w:rsid w:val="00003427"/>
    <w:rsid w:val="00010157"/>
    <w:rsid w:val="00013D8D"/>
    <w:rsid w:val="00013DC4"/>
    <w:rsid w:val="0001529E"/>
    <w:rsid w:val="000157A4"/>
    <w:rsid w:val="00020790"/>
    <w:rsid w:val="00023B3B"/>
    <w:rsid w:val="00026BA0"/>
    <w:rsid w:val="00027E69"/>
    <w:rsid w:val="00036684"/>
    <w:rsid w:val="00036B3D"/>
    <w:rsid w:val="0004110A"/>
    <w:rsid w:val="000420C1"/>
    <w:rsid w:val="00046F65"/>
    <w:rsid w:val="000522D5"/>
    <w:rsid w:val="000569CD"/>
    <w:rsid w:val="00057976"/>
    <w:rsid w:val="00073494"/>
    <w:rsid w:val="0007429E"/>
    <w:rsid w:val="00074EB6"/>
    <w:rsid w:val="0007552B"/>
    <w:rsid w:val="00090146"/>
    <w:rsid w:val="0009027C"/>
    <w:rsid w:val="00092935"/>
    <w:rsid w:val="00093077"/>
    <w:rsid w:val="00096AA8"/>
    <w:rsid w:val="00097CC9"/>
    <w:rsid w:val="000A1DEC"/>
    <w:rsid w:val="000A37E3"/>
    <w:rsid w:val="000A4F99"/>
    <w:rsid w:val="000B1764"/>
    <w:rsid w:val="000B6674"/>
    <w:rsid w:val="000C1815"/>
    <w:rsid w:val="000C1874"/>
    <w:rsid w:val="000C4260"/>
    <w:rsid w:val="000C587A"/>
    <w:rsid w:val="000D6B18"/>
    <w:rsid w:val="000D6B7F"/>
    <w:rsid w:val="000D75D3"/>
    <w:rsid w:val="000E16FC"/>
    <w:rsid w:val="000E4D9A"/>
    <w:rsid w:val="000F12BB"/>
    <w:rsid w:val="000F3951"/>
    <w:rsid w:val="000F3C7F"/>
    <w:rsid w:val="00102ADA"/>
    <w:rsid w:val="00105BBB"/>
    <w:rsid w:val="001113A3"/>
    <w:rsid w:val="001144C5"/>
    <w:rsid w:val="00114E29"/>
    <w:rsid w:val="00121DDF"/>
    <w:rsid w:val="001244A0"/>
    <w:rsid w:val="00127144"/>
    <w:rsid w:val="00133D19"/>
    <w:rsid w:val="0014019B"/>
    <w:rsid w:val="001434FF"/>
    <w:rsid w:val="00144EFA"/>
    <w:rsid w:val="00147621"/>
    <w:rsid w:val="00151846"/>
    <w:rsid w:val="00152100"/>
    <w:rsid w:val="00156144"/>
    <w:rsid w:val="0016292A"/>
    <w:rsid w:val="00164689"/>
    <w:rsid w:val="001646CA"/>
    <w:rsid w:val="00174357"/>
    <w:rsid w:val="00174A82"/>
    <w:rsid w:val="00181FA4"/>
    <w:rsid w:val="00184AEB"/>
    <w:rsid w:val="00186805"/>
    <w:rsid w:val="001903D0"/>
    <w:rsid w:val="00190EEA"/>
    <w:rsid w:val="00193CE8"/>
    <w:rsid w:val="00195C4B"/>
    <w:rsid w:val="001965D2"/>
    <w:rsid w:val="001A1460"/>
    <w:rsid w:val="001A169D"/>
    <w:rsid w:val="001A3A04"/>
    <w:rsid w:val="001B000C"/>
    <w:rsid w:val="001B31FF"/>
    <w:rsid w:val="001C3F43"/>
    <w:rsid w:val="001C632F"/>
    <w:rsid w:val="001D28BB"/>
    <w:rsid w:val="001D4870"/>
    <w:rsid w:val="001D67A6"/>
    <w:rsid w:val="001D7052"/>
    <w:rsid w:val="001E07C7"/>
    <w:rsid w:val="001E0FCA"/>
    <w:rsid w:val="001E20B3"/>
    <w:rsid w:val="001E467A"/>
    <w:rsid w:val="00201FBE"/>
    <w:rsid w:val="00210BE5"/>
    <w:rsid w:val="00211CE7"/>
    <w:rsid w:val="002245E1"/>
    <w:rsid w:val="00227D1C"/>
    <w:rsid w:val="0024028D"/>
    <w:rsid w:val="002408B1"/>
    <w:rsid w:val="00240C12"/>
    <w:rsid w:val="00246132"/>
    <w:rsid w:val="00250435"/>
    <w:rsid w:val="00252698"/>
    <w:rsid w:val="002548C9"/>
    <w:rsid w:val="00261451"/>
    <w:rsid w:val="00265FF1"/>
    <w:rsid w:val="002752B9"/>
    <w:rsid w:val="00280DE6"/>
    <w:rsid w:val="00280F32"/>
    <w:rsid w:val="0028637E"/>
    <w:rsid w:val="00286C7F"/>
    <w:rsid w:val="00292D4F"/>
    <w:rsid w:val="00294B06"/>
    <w:rsid w:val="00297AAE"/>
    <w:rsid w:val="002A2BD0"/>
    <w:rsid w:val="002A3087"/>
    <w:rsid w:val="002A3A51"/>
    <w:rsid w:val="002A7B2D"/>
    <w:rsid w:val="002B106A"/>
    <w:rsid w:val="002B4D9C"/>
    <w:rsid w:val="002C19E0"/>
    <w:rsid w:val="002C4E16"/>
    <w:rsid w:val="002C4FCC"/>
    <w:rsid w:val="002D358F"/>
    <w:rsid w:val="002D4459"/>
    <w:rsid w:val="002D7C45"/>
    <w:rsid w:val="002E24F2"/>
    <w:rsid w:val="002E75C9"/>
    <w:rsid w:val="002E7FE2"/>
    <w:rsid w:val="002F374A"/>
    <w:rsid w:val="002F6288"/>
    <w:rsid w:val="00300608"/>
    <w:rsid w:val="00300FE7"/>
    <w:rsid w:val="00301E36"/>
    <w:rsid w:val="003121AF"/>
    <w:rsid w:val="00313617"/>
    <w:rsid w:val="003138F6"/>
    <w:rsid w:val="00316D0B"/>
    <w:rsid w:val="00323D03"/>
    <w:rsid w:val="003308A4"/>
    <w:rsid w:val="00330CE0"/>
    <w:rsid w:val="003318D8"/>
    <w:rsid w:val="00335D72"/>
    <w:rsid w:val="00345F3E"/>
    <w:rsid w:val="00350771"/>
    <w:rsid w:val="00350C17"/>
    <w:rsid w:val="00350CFD"/>
    <w:rsid w:val="003519CD"/>
    <w:rsid w:val="003547F4"/>
    <w:rsid w:val="003551D9"/>
    <w:rsid w:val="0035608A"/>
    <w:rsid w:val="003603B4"/>
    <w:rsid w:val="00367392"/>
    <w:rsid w:val="00371EEF"/>
    <w:rsid w:val="00374A60"/>
    <w:rsid w:val="00375B9B"/>
    <w:rsid w:val="00384CA0"/>
    <w:rsid w:val="00384D65"/>
    <w:rsid w:val="003858AE"/>
    <w:rsid w:val="00386DD4"/>
    <w:rsid w:val="003906F5"/>
    <w:rsid w:val="00393B89"/>
    <w:rsid w:val="00393BC4"/>
    <w:rsid w:val="00393EE1"/>
    <w:rsid w:val="00396A4B"/>
    <w:rsid w:val="003A044E"/>
    <w:rsid w:val="003A0A22"/>
    <w:rsid w:val="003A4A74"/>
    <w:rsid w:val="003B062D"/>
    <w:rsid w:val="003B42AC"/>
    <w:rsid w:val="003B475F"/>
    <w:rsid w:val="003C2C1B"/>
    <w:rsid w:val="003C3F0D"/>
    <w:rsid w:val="003E1B05"/>
    <w:rsid w:val="003E292A"/>
    <w:rsid w:val="003E3119"/>
    <w:rsid w:val="003E5F45"/>
    <w:rsid w:val="003F4453"/>
    <w:rsid w:val="003F4567"/>
    <w:rsid w:val="00403F07"/>
    <w:rsid w:val="004078E1"/>
    <w:rsid w:val="00414504"/>
    <w:rsid w:val="0041690A"/>
    <w:rsid w:val="00422EB3"/>
    <w:rsid w:val="004257C1"/>
    <w:rsid w:val="004265AB"/>
    <w:rsid w:val="0042669C"/>
    <w:rsid w:val="00433F7F"/>
    <w:rsid w:val="0043539B"/>
    <w:rsid w:val="00446480"/>
    <w:rsid w:val="004500E2"/>
    <w:rsid w:val="00453A46"/>
    <w:rsid w:val="00453BB1"/>
    <w:rsid w:val="00454B67"/>
    <w:rsid w:val="004567C3"/>
    <w:rsid w:val="00456A40"/>
    <w:rsid w:val="00457C02"/>
    <w:rsid w:val="00460304"/>
    <w:rsid w:val="004604EF"/>
    <w:rsid w:val="00460FCB"/>
    <w:rsid w:val="00462844"/>
    <w:rsid w:val="00462C95"/>
    <w:rsid w:val="00470DDF"/>
    <w:rsid w:val="00473124"/>
    <w:rsid w:val="00474DD2"/>
    <w:rsid w:val="004755B6"/>
    <w:rsid w:val="0048396B"/>
    <w:rsid w:val="00484F7C"/>
    <w:rsid w:val="004907A8"/>
    <w:rsid w:val="004908B8"/>
    <w:rsid w:val="004953AC"/>
    <w:rsid w:val="004A018C"/>
    <w:rsid w:val="004A5026"/>
    <w:rsid w:val="004A5DCB"/>
    <w:rsid w:val="004A62BB"/>
    <w:rsid w:val="004A6D73"/>
    <w:rsid w:val="004B573F"/>
    <w:rsid w:val="004C49A9"/>
    <w:rsid w:val="004C7C4C"/>
    <w:rsid w:val="004D31D9"/>
    <w:rsid w:val="004D4F52"/>
    <w:rsid w:val="004E0C91"/>
    <w:rsid w:val="004E210C"/>
    <w:rsid w:val="004E4954"/>
    <w:rsid w:val="004E7301"/>
    <w:rsid w:val="004F2136"/>
    <w:rsid w:val="005007EA"/>
    <w:rsid w:val="00503033"/>
    <w:rsid w:val="00515FD9"/>
    <w:rsid w:val="0051624A"/>
    <w:rsid w:val="00517F0E"/>
    <w:rsid w:val="005201BD"/>
    <w:rsid w:val="0052188A"/>
    <w:rsid w:val="00521C43"/>
    <w:rsid w:val="005307FC"/>
    <w:rsid w:val="0053325D"/>
    <w:rsid w:val="005334BA"/>
    <w:rsid w:val="00541BC0"/>
    <w:rsid w:val="00544F5B"/>
    <w:rsid w:val="00551487"/>
    <w:rsid w:val="00560B94"/>
    <w:rsid w:val="00566B00"/>
    <w:rsid w:val="005711EC"/>
    <w:rsid w:val="0057142A"/>
    <w:rsid w:val="00571857"/>
    <w:rsid w:val="00573445"/>
    <w:rsid w:val="005756EE"/>
    <w:rsid w:val="00576E6C"/>
    <w:rsid w:val="00581775"/>
    <w:rsid w:val="0058689D"/>
    <w:rsid w:val="005877E0"/>
    <w:rsid w:val="005903F9"/>
    <w:rsid w:val="00593226"/>
    <w:rsid w:val="00597E3D"/>
    <w:rsid w:val="005A0500"/>
    <w:rsid w:val="005A360A"/>
    <w:rsid w:val="005B170A"/>
    <w:rsid w:val="005B1E7B"/>
    <w:rsid w:val="005B2812"/>
    <w:rsid w:val="005B31FD"/>
    <w:rsid w:val="005B74CA"/>
    <w:rsid w:val="005C383B"/>
    <w:rsid w:val="005D4DAC"/>
    <w:rsid w:val="005E00DD"/>
    <w:rsid w:val="005E3A68"/>
    <w:rsid w:val="005E3D5D"/>
    <w:rsid w:val="005E42C7"/>
    <w:rsid w:val="005E500F"/>
    <w:rsid w:val="005E65C3"/>
    <w:rsid w:val="005F0608"/>
    <w:rsid w:val="005F0657"/>
    <w:rsid w:val="005F28CE"/>
    <w:rsid w:val="005F2D8F"/>
    <w:rsid w:val="005F2DF9"/>
    <w:rsid w:val="005F5ADC"/>
    <w:rsid w:val="00601DEC"/>
    <w:rsid w:val="00602580"/>
    <w:rsid w:val="00607D68"/>
    <w:rsid w:val="006136D3"/>
    <w:rsid w:val="00617857"/>
    <w:rsid w:val="006259D2"/>
    <w:rsid w:val="00626976"/>
    <w:rsid w:val="00631A9D"/>
    <w:rsid w:val="0063264B"/>
    <w:rsid w:val="00632660"/>
    <w:rsid w:val="006403FA"/>
    <w:rsid w:val="006427E4"/>
    <w:rsid w:val="0064338B"/>
    <w:rsid w:val="00645BB5"/>
    <w:rsid w:val="006461E5"/>
    <w:rsid w:val="00654862"/>
    <w:rsid w:val="00660AB6"/>
    <w:rsid w:val="00663993"/>
    <w:rsid w:val="006739E6"/>
    <w:rsid w:val="00673F07"/>
    <w:rsid w:val="0067517E"/>
    <w:rsid w:val="006800E3"/>
    <w:rsid w:val="0068261D"/>
    <w:rsid w:val="00683395"/>
    <w:rsid w:val="00686587"/>
    <w:rsid w:val="00686762"/>
    <w:rsid w:val="00686EA3"/>
    <w:rsid w:val="006A0CD7"/>
    <w:rsid w:val="006A2373"/>
    <w:rsid w:val="006A39A5"/>
    <w:rsid w:val="006A6F73"/>
    <w:rsid w:val="006A7BD6"/>
    <w:rsid w:val="006B23B0"/>
    <w:rsid w:val="006B3AF4"/>
    <w:rsid w:val="006B52AA"/>
    <w:rsid w:val="006B5B27"/>
    <w:rsid w:val="006C1F6D"/>
    <w:rsid w:val="006C5A76"/>
    <w:rsid w:val="006C6F02"/>
    <w:rsid w:val="006D0197"/>
    <w:rsid w:val="006D0FC6"/>
    <w:rsid w:val="006D205D"/>
    <w:rsid w:val="006D2454"/>
    <w:rsid w:val="006D39BD"/>
    <w:rsid w:val="006D4262"/>
    <w:rsid w:val="006E2DB4"/>
    <w:rsid w:val="006E4F49"/>
    <w:rsid w:val="006E7601"/>
    <w:rsid w:val="006F176E"/>
    <w:rsid w:val="006F4FDA"/>
    <w:rsid w:val="0070168B"/>
    <w:rsid w:val="00706397"/>
    <w:rsid w:val="00707D0E"/>
    <w:rsid w:val="00707DC4"/>
    <w:rsid w:val="007118FD"/>
    <w:rsid w:val="00715F6F"/>
    <w:rsid w:val="007245C6"/>
    <w:rsid w:val="00724A49"/>
    <w:rsid w:val="007269BF"/>
    <w:rsid w:val="0073011A"/>
    <w:rsid w:val="0073407B"/>
    <w:rsid w:val="00736166"/>
    <w:rsid w:val="00737CD2"/>
    <w:rsid w:val="00742778"/>
    <w:rsid w:val="00751039"/>
    <w:rsid w:val="0075163B"/>
    <w:rsid w:val="00760251"/>
    <w:rsid w:val="00760A0D"/>
    <w:rsid w:val="00761D09"/>
    <w:rsid w:val="00766659"/>
    <w:rsid w:val="00772859"/>
    <w:rsid w:val="00774C2E"/>
    <w:rsid w:val="00775DCF"/>
    <w:rsid w:val="00777BF4"/>
    <w:rsid w:val="00782B78"/>
    <w:rsid w:val="00785982"/>
    <w:rsid w:val="00786F7A"/>
    <w:rsid w:val="007909F3"/>
    <w:rsid w:val="007926BF"/>
    <w:rsid w:val="00792EAB"/>
    <w:rsid w:val="007A1B8F"/>
    <w:rsid w:val="007A5BFF"/>
    <w:rsid w:val="007B0AB5"/>
    <w:rsid w:val="007C1E3D"/>
    <w:rsid w:val="007D0742"/>
    <w:rsid w:val="007D1BD8"/>
    <w:rsid w:val="007D4C37"/>
    <w:rsid w:val="007D647D"/>
    <w:rsid w:val="007E00B1"/>
    <w:rsid w:val="007E6EFF"/>
    <w:rsid w:val="007F19D7"/>
    <w:rsid w:val="007F2185"/>
    <w:rsid w:val="007F3D61"/>
    <w:rsid w:val="007F4F3C"/>
    <w:rsid w:val="007F506A"/>
    <w:rsid w:val="007F75D5"/>
    <w:rsid w:val="00800518"/>
    <w:rsid w:val="00800991"/>
    <w:rsid w:val="00803393"/>
    <w:rsid w:val="00803DE4"/>
    <w:rsid w:val="008100D1"/>
    <w:rsid w:val="008102A8"/>
    <w:rsid w:val="00811F65"/>
    <w:rsid w:val="008142AA"/>
    <w:rsid w:val="008149AB"/>
    <w:rsid w:val="0081632C"/>
    <w:rsid w:val="0082068B"/>
    <w:rsid w:val="00820E56"/>
    <w:rsid w:val="00825880"/>
    <w:rsid w:val="00827FA9"/>
    <w:rsid w:val="0083614A"/>
    <w:rsid w:val="0083796D"/>
    <w:rsid w:val="008432D3"/>
    <w:rsid w:val="00843BF9"/>
    <w:rsid w:val="008538B2"/>
    <w:rsid w:val="00856956"/>
    <w:rsid w:val="00856FD8"/>
    <w:rsid w:val="008637CF"/>
    <w:rsid w:val="0086602A"/>
    <w:rsid w:val="00866799"/>
    <w:rsid w:val="0087122B"/>
    <w:rsid w:val="00880D15"/>
    <w:rsid w:val="008817D4"/>
    <w:rsid w:val="00892BE6"/>
    <w:rsid w:val="00895F27"/>
    <w:rsid w:val="0089697F"/>
    <w:rsid w:val="008A2D40"/>
    <w:rsid w:val="008A42AC"/>
    <w:rsid w:val="008A4658"/>
    <w:rsid w:val="008A4A55"/>
    <w:rsid w:val="008A62EE"/>
    <w:rsid w:val="008B0768"/>
    <w:rsid w:val="008B3083"/>
    <w:rsid w:val="008B68A9"/>
    <w:rsid w:val="008B79D8"/>
    <w:rsid w:val="008B7DD8"/>
    <w:rsid w:val="008C3C49"/>
    <w:rsid w:val="008C75AE"/>
    <w:rsid w:val="008D38F9"/>
    <w:rsid w:val="008D771D"/>
    <w:rsid w:val="008E062F"/>
    <w:rsid w:val="008E160C"/>
    <w:rsid w:val="008E1C40"/>
    <w:rsid w:val="008E525E"/>
    <w:rsid w:val="008E5CA7"/>
    <w:rsid w:val="008E5E77"/>
    <w:rsid w:val="008F1950"/>
    <w:rsid w:val="008F58D5"/>
    <w:rsid w:val="008F702A"/>
    <w:rsid w:val="00900483"/>
    <w:rsid w:val="00900FFC"/>
    <w:rsid w:val="00903483"/>
    <w:rsid w:val="00903DCE"/>
    <w:rsid w:val="00916123"/>
    <w:rsid w:val="00924078"/>
    <w:rsid w:val="00926A9B"/>
    <w:rsid w:val="0093185A"/>
    <w:rsid w:val="009320DB"/>
    <w:rsid w:val="009336D7"/>
    <w:rsid w:val="00934550"/>
    <w:rsid w:val="0094319B"/>
    <w:rsid w:val="00944396"/>
    <w:rsid w:val="00945DFB"/>
    <w:rsid w:val="0094631C"/>
    <w:rsid w:val="0094656C"/>
    <w:rsid w:val="0094689E"/>
    <w:rsid w:val="00947DBE"/>
    <w:rsid w:val="00950947"/>
    <w:rsid w:val="00950A73"/>
    <w:rsid w:val="009521A1"/>
    <w:rsid w:val="00956941"/>
    <w:rsid w:val="00971DD0"/>
    <w:rsid w:val="00972E50"/>
    <w:rsid w:val="0097537B"/>
    <w:rsid w:val="00975D79"/>
    <w:rsid w:val="009831CB"/>
    <w:rsid w:val="009901EB"/>
    <w:rsid w:val="00991248"/>
    <w:rsid w:val="00991C39"/>
    <w:rsid w:val="0099389F"/>
    <w:rsid w:val="00995538"/>
    <w:rsid w:val="0099799D"/>
    <w:rsid w:val="009A0D2A"/>
    <w:rsid w:val="009A3BF3"/>
    <w:rsid w:val="009A5911"/>
    <w:rsid w:val="009A6CF0"/>
    <w:rsid w:val="009B1AD8"/>
    <w:rsid w:val="009B61D9"/>
    <w:rsid w:val="009C675A"/>
    <w:rsid w:val="009C6CA8"/>
    <w:rsid w:val="009E1BCC"/>
    <w:rsid w:val="009E2454"/>
    <w:rsid w:val="009F3C3B"/>
    <w:rsid w:val="00A02598"/>
    <w:rsid w:val="00A03749"/>
    <w:rsid w:val="00A05AA5"/>
    <w:rsid w:val="00A06C26"/>
    <w:rsid w:val="00A12D0F"/>
    <w:rsid w:val="00A17727"/>
    <w:rsid w:val="00A25929"/>
    <w:rsid w:val="00A25E22"/>
    <w:rsid w:val="00A26C83"/>
    <w:rsid w:val="00A272BE"/>
    <w:rsid w:val="00A2747C"/>
    <w:rsid w:val="00A32234"/>
    <w:rsid w:val="00A359EA"/>
    <w:rsid w:val="00A428F7"/>
    <w:rsid w:val="00A43F15"/>
    <w:rsid w:val="00A45913"/>
    <w:rsid w:val="00A46E39"/>
    <w:rsid w:val="00A515FD"/>
    <w:rsid w:val="00A541F4"/>
    <w:rsid w:val="00A5517E"/>
    <w:rsid w:val="00A55FE6"/>
    <w:rsid w:val="00A57902"/>
    <w:rsid w:val="00A60C87"/>
    <w:rsid w:val="00A61B7C"/>
    <w:rsid w:val="00A66B24"/>
    <w:rsid w:val="00A70582"/>
    <w:rsid w:val="00A75E29"/>
    <w:rsid w:val="00A77B51"/>
    <w:rsid w:val="00A83481"/>
    <w:rsid w:val="00A86861"/>
    <w:rsid w:val="00A868CC"/>
    <w:rsid w:val="00A913E1"/>
    <w:rsid w:val="00A9452B"/>
    <w:rsid w:val="00A9495F"/>
    <w:rsid w:val="00A969CC"/>
    <w:rsid w:val="00AA65EA"/>
    <w:rsid w:val="00AB1A21"/>
    <w:rsid w:val="00AC306C"/>
    <w:rsid w:val="00AC65AB"/>
    <w:rsid w:val="00AC72D2"/>
    <w:rsid w:val="00AD254C"/>
    <w:rsid w:val="00AD4E6D"/>
    <w:rsid w:val="00AD4FE4"/>
    <w:rsid w:val="00AE10B9"/>
    <w:rsid w:val="00AE1C3B"/>
    <w:rsid w:val="00AE26D7"/>
    <w:rsid w:val="00AE2B3D"/>
    <w:rsid w:val="00AE2D7A"/>
    <w:rsid w:val="00AE7B5C"/>
    <w:rsid w:val="00AF50F3"/>
    <w:rsid w:val="00AF610A"/>
    <w:rsid w:val="00AF6922"/>
    <w:rsid w:val="00AF6AAC"/>
    <w:rsid w:val="00B00998"/>
    <w:rsid w:val="00B0259D"/>
    <w:rsid w:val="00B03941"/>
    <w:rsid w:val="00B12DA6"/>
    <w:rsid w:val="00B17B9E"/>
    <w:rsid w:val="00B36D09"/>
    <w:rsid w:val="00B441E1"/>
    <w:rsid w:val="00B529F5"/>
    <w:rsid w:val="00B53EAD"/>
    <w:rsid w:val="00B54E65"/>
    <w:rsid w:val="00B54F1B"/>
    <w:rsid w:val="00B556C7"/>
    <w:rsid w:val="00B6203D"/>
    <w:rsid w:val="00B63656"/>
    <w:rsid w:val="00B66992"/>
    <w:rsid w:val="00B67AF9"/>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43B2"/>
    <w:rsid w:val="00BB462C"/>
    <w:rsid w:val="00BB58D7"/>
    <w:rsid w:val="00BB63AE"/>
    <w:rsid w:val="00BB640B"/>
    <w:rsid w:val="00BB6CBB"/>
    <w:rsid w:val="00BC1B56"/>
    <w:rsid w:val="00BC47E6"/>
    <w:rsid w:val="00BD1397"/>
    <w:rsid w:val="00BD17B7"/>
    <w:rsid w:val="00BD1AE4"/>
    <w:rsid w:val="00BD466F"/>
    <w:rsid w:val="00BE1580"/>
    <w:rsid w:val="00BF02AD"/>
    <w:rsid w:val="00BF11DB"/>
    <w:rsid w:val="00BF51DF"/>
    <w:rsid w:val="00BF6320"/>
    <w:rsid w:val="00BF6D6B"/>
    <w:rsid w:val="00C0475A"/>
    <w:rsid w:val="00C048B0"/>
    <w:rsid w:val="00C05E31"/>
    <w:rsid w:val="00C26952"/>
    <w:rsid w:val="00C26D0E"/>
    <w:rsid w:val="00C340B5"/>
    <w:rsid w:val="00C429B3"/>
    <w:rsid w:val="00C431B3"/>
    <w:rsid w:val="00C44077"/>
    <w:rsid w:val="00C46910"/>
    <w:rsid w:val="00C60465"/>
    <w:rsid w:val="00C620F8"/>
    <w:rsid w:val="00C66AF6"/>
    <w:rsid w:val="00C72303"/>
    <w:rsid w:val="00C73DC1"/>
    <w:rsid w:val="00C75302"/>
    <w:rsid w:val="00C77275"/>
    <w:rsid w:val="00C8174B"/>
    <w:rsid w:val="00C86949"/>
    <w:rsid w:val="00CA614A"/>
    <w:rsid w:val="00CA7379"/>
    <w:rsid w:val="00CA7825"/>
    <w:rsid w:val="00CB6629"/>
    <w:rsid w:val="00CB7555"/>
    <w:rsid w:val="00CC5888"/>
    <w:rsid w:val="00CD04EE"/>
    <w:rsid w:val="00CD1202"/>
    <w:rsid w:val="00CD1714"/>
    <w:rsid w:val="00CD22B3"/>
    <w:rsid w:val="00CD24FC"/>
    <w:rsid w:val="00CD6DC7"/>
    <w:rsid w:val="00CE0B6C"/>
    <w:rsid w:val="00CE1AF8"/>
    <w:rsid w:val="00CE1EE0"/>
    <w:rsid w:val="00CE441A"/>
    <w:rsid w:val="00CE448A"/>
    <w:rsid w:val="00CE7D9E"/>
    <w:rsid w:val="00CF0B86"/>
    <w:rsid w:val="00CF2EB9"/>
    <w:rsid w:val="00CF33C2"/>
    <w:rsid w:val="00CF4C8D"/>
    <w:rsid w:val="00CF6C55"/>
    <w:rsid w:val="00D018F3"/>
    <w:rsid w:val="00D04584"/>
    <w:rsid w:val="00D04B85"/>
    <w:rsid w:val="00D1139B"/>
    <w:rsid w:val="00D1370B"/>
    <w:rsid w:val="00D20FDC"/>
    <w:rsid w:val="00D216BF"/>
    <w:rsid w:val="00D303A3"/>
    <w:rsid w:val="00D30864"/>
    <w:rsid w:val="00D32F80"/>
    <w:rsid w:val="00D33021"/>
    <w:rsid w:val="00D37813"/>
    <w:rsid w:val="00D4062B"/>
    <w:rsid w:val="00D4476B"/>
    <w:rsid w:val="00D459E6"/>
    <w:rsid w:val="00D51BA7"/>
    <w:rsid w:val="00D52591"/>
    <w:rsid w:val="00D540B3"/>
    <w:rsid w:val="00D54BE4"/>
    <w:rsid w:val="00D57763"/>
    <w:rsid w:val="00D63E4A"/>
    <w:rsid w:val="00D63F82"/>
    <w:rsid w:val="00D66100"/>
    <w:rsid w:val="00D7138E"/>
    <w:rsid w:val="00D75C09"/>
    <w:rsid w:val="00D80247"/>
    <w:rsid w:val="00D831DB"/>
    <w:rsid w:val="00D83285"/>
    <w:rsid w:val="00D8730E"/>
    <w:rsid w:val="00D9340C"/>
    <w:rsid w:val="00D974CD"/>
    <w:rsid w:val="00DA0A32"/>
    <w:rsid w:val="00DA2566"/>
    <w:rsid w:val="00DA4AE4"/>
    <w:rsid w:val="00DB5647"/>
    <w:rsid w:val="00DC1494"/>
    <w:rsid w:val="00DC155D"/>
    <w:rsid w:val="00DC27EB"/>
    <w:rsid w:val="00DC2AB5"/>
    <w:rsid w:val="00DC6921"/>
    <w:rsid w:val="00DD4DD8"/>
    <w:rsid w:val="00DD66EF"/>
    <w:rsid w:val="00DE46A8"/>
    <w:rsid w:val="00DE5255"/>
    <w:rsid w:val="00DE68D7"/>
    <w:rsid w:val="00DF28CB"/>
    <w:rsid w:val="00E02820"/>
    <w:rsid w:val="00E05086"/>
    <w:rsid w:val="00E07046"/>
    <w:rsid w:val="00E1079D"/>
    <w:rsid w:val="00E171DC"/>
    <w:rsid w:val="00E20664"/>
    <w:rsid w:val="00E21483"/>
    <w:rsid w:val="00E21805"/>
    <w:rsid w:val="00E24E79"/>
    <w:rsid w:val="00E334A3"/>
    <w:rsid w:val="00E407E4"/>
    <w:rsid w:val="00E409E1"/>
    <w:rsid w:val="00E45FFD"/>
    <w:rsid w:val="00E46E0E"/>
    <w:rsid w:val="00E47F55"/>
    <w:rsid w:val="00E5052F"/>
    <w:rsid w:val="00E5317A"/>
    <w:rsid w:val="00E5488C"/>
    <w:rsid w:val="00E614A9"/>
    <w:rsid w:val="00E622F8"/>
    <w:rsid w:val="00E63D66"/>
    <w:rsid w:val="00E65000"/>
    <w:rsid w:val="00E66399"/>
    <w:rsid w:val="00E67770"/>
    <w:rsid w:val="00E747E4"/>
    <w:rsid w:val="00E81912"/>
    <w:rsid w:val="00E81F01"/>
    <w:rsid w:val="00E82027"/>
    <w:rsid w:val="00E826ED"/>
    <w:rsid w:val="00E846F1"/>
    <w:rsid w:val="00E85E3B"/>
    <w:rsid w:val="00E91869"/>
    <w:rsid w:val="00E940B2"/>
    <w:rsid w:val="00E946B1"/>
    <w:rsid w:val="00EA026F"/>
    <w:rsid w:val="00EA2722"/>
    <w:rsid w:val="00EA4087"/>
    <w:rsid w:val="00EA46BC"/>
    <w:rsid w:val="00ED255D"/>
    <w:rsid w:val="00ED6E79"/>
    <w:rsid w:val="00EE030B"/>
    <w:rsid w:val="00EE2FD3"/>
    <w:rsid w:val="00EE30F8"/>
    <w:rsid w:val="00EE7534"/>
    <w:rsid w:val="00EE7D72"/>
    <w:rsid w:val="00EF130C"/>
    <w:rsid w:val="00EF1BDD"/>
    <w:rsid w:val="00F02BE9"/>
    <w:rsid w:val="00F06B78"/>
    <w:rsid w:val="00F070A2"/>
    <w:rsid w:val="00F12139"/>
    <w:rsid w:val="00F12949"/>
    <w:rsid w:val="00F13219"/>
    <w:rsid w:val="00F15611"/>
    <w:rsid w:val="00F17733"/>
    <w:rsid w:val="00F25D81"/>
    <w:rsid w:val="00F27123"/>
    <w:rsid w:val="00F30B70"/>
    <w:rsid w:val="00F3591C"/>
    <w:rsid w:val="00F37074"/>
    <w:rsid w:val="00F37829"/>
    <w:rsid w:val="00F404DD"/>
    <w:rsid w:val="00F40A4C"/>
    <w:rsid w:val="00F4125D"/>
    <w:rsid w:val="00F4158E"/>
    <w:rsid w:val="00F42661"/>
    <w:rsid w:val="00F434C9"/>
    <w:rsid w:val="00F43CFB"/>
    <w:rsid w:val="00F44EC2"/>
    <w:rsid w:val="00F46075"/>
    <w:rsid w:val="00F46DFB"/>
    <w:rsid w:val="00F506F0"/>
    <w:rsid w:val="00F51342"/>
    <w:rsid w:val="00F64659"/>
    <w:rsid w:val="00F740F9"/>
    <w:rsid w:val="00F752FD"/>
    <w:rsid w:val="00F80969"/>
    <w:rsid w:val="00F84AFE"/>
    <w:rsid w:val="00F86D06"/>
    <w:rsid w:val="00F876A1"/>
    <w:rsid w:val="00F92D66"/>
    <w:rsid w:val="00F93E0A"/>
    <w:rsid w:val="00F940CA"/>
    <w:rsid w:val="00FA0E51"/>
    <w:rsid w:val="00FA1E27"/>
    <w:rsid w:val="00FA7EBD"/>
    <w:rsid w:val="00FB253B"/>
    <w:rsid w:val="00FB5FE1"/>
    <w:rsid w:val="00FB621E"/>
    <w:rsid w:val="00FB723A"/>
    <w:rsid w:val="00FC4B7A"/>
    <w:rsid w:val="00FC4F9D"/>
    <w:rsid w:val="00FD538F"/>
    <w:rsid w:val="00FD7969"/>
    <w:rsid w:val="00FF0891"/>
    <w:rsid w:val="00FF0DB1"/>
    <w:rsid w:val="00FF0DD8"/>
    <w:rsid w:val="00FF1D40"/>
    <w:rsid w:val="00FF2500"/>
    <w:rsid w:val="00FF44BE"/>
    <w:rsid w:val="01662FAA"/>
    <w:rsid w:val="0FDC3796"/>
    <w:rsid w:val="1127525D"/>
    <w:rsid w:val="138F28CD"/>
    <w:rsid w:val="1890511D"/>
    <w:rsid w:val="18BA12F4"/>
    <w:rsid w:val="1AAA37F6"/>
    <w:rsid w:val="1E8B6B43"/>
    <w:rsid w:val="20183A07"/>
    <w:rsid w:val="226D0214"/>
    <w:rsid w:val="28AD47D4"/>
    <w:rsid w:val="29E11C7D"/>
    <w:rsid w:val="2A454EB7"/>
    <w:rsid w:val="32881B91"/>
    <w:rsid w:val="33097B87"/>
    <w:rsid w:val="36685822"/>
    <w:rsid w:val="38174ABC"/>
    <w:rsid w:val="39661EBD"/>
    <w:rsid w:val="3C5A4312"/>
    <w:rsid w:val="402B55A8"/>
    <w:rsid w:val="406B1E48"/>
    <w:rsid w:val="417160A5"/>
    <w:rsid w:val="44F1763A"/>
    <w:rsid w:val="51E87B04"/>
    <w:rsid w:val="583F16F5"/>
    <w:rsid w:val="5A8226C1"/>
    <w:rsid w:val="5B5D6C98"/>
    <w:rsid w:val="5F2E30BD"/>
    <w:rsid w:val="69AF6949"/>
    <w:rsid w:val="6EFF6FDB"/>
    <w:rsid w:val="70A9682E"/>
    <w:rsid w:val="71495DBA"/>
    <w:rsid w:val="72190E55"/>
    <w:rsid w:val="7318527B"/>
    <w:rsid w:val="7C4369BA"/>
    <w:rsid w:val="7CE03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1"/>
    <w:semiHidden/>
    <w:unhideWhenUsed/>
    <w:qFormat/>
    <w:uiPriority w:val="99"/>
    <w:pPr>
      <w:jc w:val="left"/>
    </w:pPr>
  </w:style>
  <w:style w:type="paragraph" w:styleId="3">
    <w:name w:val="Block Text"/>
    <w:basedOn w:val="1"/>
    <w:unhideWhenUsed/>
    <w:qFormat/>
    <w:uiPriority w:val="0"/>
    <w:pPr>
      <w:adjustRightInd w:val="0"/>
      <w:snapToGrid w:val="0"/>
      <w:spacing w:line="480" w:lineRule="auto"/>
      <w:ind w:left="899" w:leftChars="428" w:right="998" w:rightChars="475" w:firstLine="640" w:firstLineChars="200"/>
    </w:pPr>
    <w:rPr>
      <w:rFonts w:eastAsia="仿宋_GB2312"/>
      <w:sz w:val="32"/>
    </w:rPr>
  </w:style>
  <w:style w:type="paragraph" w:styleId="4">
    <w:name w:val="Date"/>
    <w:basedOn w:val="1"/>
    <w:next w:val="1"/>
    <w:link w:val="20"/>
    <w:qFormat/>
    <w:uiPriority w:val="0"/>
    <w:pPr>
      <w:ind w:left="100" w:leftChars="2500"/>
    </w:pPr>
  </w:style>
  <w:style w:type="paragraph" w:styleId="5">
    <w:name w:val="Balloon Text"/>
    <w:basedOn w:val="1"/>
    <w:link w:val="19"/>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annotation subject"/>
    <w:basedOn w:val="2"/>
    <w:next w:val="2"/>
    <w:link w:val="22"/>
    <w:semiHidden/>
    <w:unhideWhenUsed/>
    <w:qFormat/>
    <w:uiPriority w:val="0"/>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qFormat/>
    <w:uiPriority w:val="0"/>
    <w:rPr>
      <w:rFonts w:hint="default" w:ascii="Arial Black" w:hAnsi="Arial Black" w:eastAsia="黑体"/>
      <w:b/>
      <w:spacing w:val="0"/>
      <w:sz w:val="21"/>
      <w:lang w:eastAsia="zh-CN"/>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styleId="15">
    <w:name w:val="annotation reference"/>
    <w:basedOn w:val="12"/>
    <w:semiHidden/>
    <w:unhideWhenUsed/>
    <w:qFormat/>
    <w:uiPriority w:val="99"/>
    <w:rPr>
      <w:sz w:val="21"/>
      <w:szCs w:val="21"/>
    </w:rPr>
  </w:style>
  <w:style w:type="character" w:customStyle="1" w:styleId="16">
    <w:name w:val="页眉 Char"/>
    <w:basedOn w:val="12"/>
    <w:link w:val="7"/>
    <w:qFormat/>
    <w:uiPriority w:val="99"/>
    <w:rPr>
      <w:kern w:val="2"/>
      <w:sz w:val="18"/>
      <w:szCs w:val="18"/>
    </w:rPr>
  </w:style>
  <w:style w:type="character" w:customStyle="1" w:styleId="17">
    <w:name w:val="页脚 Char"/>
    <w:basedOn w:val="12"/>
    <w:link w:val="6"/>
    <w:qFormat/>
    <w:uiPriority w:val="99"/>
    <w:rPr>
      <w:kern w:val="2"/>
      <w:sz w:val="18"/>
      <w:szCs w:val="18"/>
    </w:rPr>
  </w:style>
  <w:style w:type="paragraph" w:styleId="18">
    <w:name w:val="List Paragraph"/>
    <w:basedOn w:val="1"/>
    <w:qFormat/>
    <w:uiPriority w:val="34"/>
    <w:pPr>
      <w:ind w:firstLine="420" w:firstLineChars="200"/>
    </w:pPr>
  </w:style>
  <w:style w:type="character" w:customStyle="1" w:styleId="19">
    <w:name w:val="批注框文本 Char"/>
    <w:basedOn w:val="12"/>
    <w:link w:val="5"/>
    <w:semiHidden/>
    <w:qFormat/>
    <w:uiPriority w:val="99"/>
    <w:rPr>
      <w:kern w:val="2"/>
      <w:sz w:val="18"/>
      <w:szCs w:val="18"/>
    </w:rPr>
  </w:style>
  <w:style w:type="character" w:customStyle="1" w:styleId="20">
    <w:name w:val="日期 Char"/>
    <w:basedOn w:val="12"/>
    <w:link w:val="4"/>
    <w:qFormat/>
    <w:uiPriority w:val="0"/>
    <w:rPr>
      <w:kern w:val="2"/>
      <w:sz w:val="21"/>
      <w:szCs w:val="24"/>
    </w:rPr>
  </w:style>
  <w:style w:type="character" w:customStyle="1" w:styleId="21">
    <w:name w:val="批注文字 Char"/>
    <w:basedOn w:val="12"/>
    <w:link w:val="2"/>
    <w:semiHidden/>
    <w:qFormat/>
    <w:uiPriority w:val="99"/>
    <w:rPr>
      <w:kern w:val="2"/>
      <w:sz w:val="21"/>
      <w:szCs w:val="24"/>
    </w:rPr>
  </w:style>
  <w:style w:type="character" w:customStyle="1" w:styleId="22">
    <w:name w:val="批注主题 Char"/>
    <w:basedOn w:val="21"/>
    <w:link w:val="9"/>
    <w:semiHidden/>
    <w:qFormat/>
    <w:uiPriority w:val="99"/>
    <w:rPr>
      <w:b/>
      <w:bCs/>
      <w:kern w:val="2"/>
      <w:sz w:val="21"/>
      <w:szCs w:val="24"/>
    </w:rPr>
  </w:style>
  <w:style w:type="table" w:customStyle="1" w:styleId="23">
    <w:name w:val="网格型1"/>
    <w:basedOn w:val="10"/>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CCDB46-FFDD-495F-AED4-3A2461B033AC}">
  <ds:schemaRefs/>
</ds:datastoreItem>
</file>

<file path=docProps/app.xml><?xml version="1.0" encoding="utf-8"?>
<Properties xmlns="http://schemas.openxmlformats.org/officeDocument/2006/extended-properties" xmlns:vt="http://schemas.openxmlformats.org/officeDocument/2006/docPropsVTypes">
  <Template>Normal</Template>
  <Company>hx</Company>
  <Pages>11</Pages>
  <Words>4908</Words>
  <Characters>5244</Characters>
  <Lines>41</Lines>
  <Paragraphs>11</Paragraphs>
  <TotalTime>0</TotalTime>
  <ScaleCrop>false</ScaleCrop>
  <LinksUpToDate>false</LinksUpToDate>
  <CharactersWithSpaces>5746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2023-03-09T01:29:00Z</dcterms:created>
  <dc:creator>hx</dc:creator>
  <cp:lastModifiedBy>米饭团</cp:lastModifiedBy>
  <cp:lastPrinted>2024-11-04T04:37:00Z</cp:lastPrinted>
  <dcterms:modified xsi:type="dcterms:W3CDTF">2026-07-16T06:20:17Z</dcterms:modified>
  <cp:revision>239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eyJoZGlkIjoiYzEwYTBiY2NmZDIwMGQ5ZjBlNWZjNjNkMzk5OWYzMDUiLCJ1c2VySWQiOiI4MzAyNDkzNTYifQ==</vt:lpwstr>
  </property>
  <property fmtid="{D5CDD505-2E9C-101B-9397-08002B2CF9AE}" pid="3" name="KSOProductBuildVer">
    <vt:lpwstr>2052-12.1.0.25865</vt:lpwstr>
  </property>
  <property fmtid="{D5CDD505-2E9C-101B-9397-08002B2CF9AE}" pid="4" name="ICV">
    <vt:lpwstr>59A0C1A344C04EB796FB5B9C93EA9709_12</vt:lpwstr>
  </property>
</Properties>
</file>